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186792540" w:displacedByCustomXml="next"/>
    <w:bookmarkStart w:id="1" w:name="_Hlk173165859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779591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6C0D12E" w14:textId="7B79106E" w:rsidR="00817916" w:rsidRPr="00523425" w:rsidRDefault="00817916" w:rsidP="005A602E">
          <w:pPr>
            <w:pStyle w:val="CabealhodoSumrio"/>
            <w:jc w:val="center"/>
            <w:rPr>
              <w:rFonts w:asciiTheme="minorHAnsi" w:hAnsiTheme="minorHAnsi" w:cstheme="minorHAnsi"/>
              <w:b/>
              <w:bCs/>
              <w:color w:val="AF8200"/>
              <w:sz w:val="44"/>
              <w:szCs w:val="44"/>
            </w:rPr>
          </w:pPr>
          <w:r w:rsidRPr="00523425">
            <w:rPr>
              <w:rFonts w:asciiTheme="minorHAnsi" w:hAnsiTheme="minorHAnsi" w:cstheme="minorHAnsi"/>
              <w:b/>
              <w:bCs/>
              <w:color w:val="AF8200"/>
              <w:sz w:val="44"/>
              <w:szCs w:val="44"/>
            </w:rPr>
            <w:t xml:space="preserve">BDE NEWS – </w:t>
          </w:r>
          <w:proofErr w:type="gramStart"/>
          <w:r w:rsidR="009B0B81">
            <w:rPr>
              <w:rFonts w:asciiTheme="minorHAnsi" w:hAnsiTheme="minorHAnsi" w:cstheme="minorHAnsi"/>
              <w:b/>
              <w:bCs/>
              <w:color w:val="AF8200"/>
              <w:sz w:val="44"/>
              <w:szCs w:val="44"/>
            </w:rPr>
            <w:t>Março</w:t>
          </w:r>
          <w:proofErr w:type="gramEnd"/>
          <w:r w:rsidRPr="00523425">
            <w:rPr>
              <w:rFonts w:asciiTheme="minorHAnsi" w:hAnsiTheme="minorHAnsi" w:cstheme="minorHAnsi"/>
              <w:b/>
              <w:bCs/>
              <w:color w:val="AF8200"/>
              <w:sz w:val="44"/>
              <w:szCs w:val="44"/>
            </w:rPr>
            <w:t xml:space="preserve"> (202</w:t>
          </w:r>
          <w:r w:rsidR="00AA58B9">
            <w:rPr>
              <w:rFonts w:asciiTheme="minorHAnsi" w:hAnsiTheme="minorHAnsi" w:cstheme="minorHAnsi"/>
              <w:b/>
              <w:bCs/>
              <w:color w:val="AF8200"/>
              <w:sz w:val="44"/>
              <w:szCs w:val="44"/>
            </w:rPr>
            <w:t>6</w:t>
          </w:r>
          <w:r w:rsidRPr="00523425">
            <w:rPr>
              <w:rFonts w:asciiTheme="minorHAnsi" w:hAnsiTheme="minorHAnsi" w:cstheme="minorHAnsi"/>
              <w:b/>
              <w:bCs/>
              <w:color w:val="AF8200"/>
              <w:sz w:val="44"/>
              <w:szCs w:val="44"/>
            </w:rPr>
            <w:t>)</w:t>
          </w:r>
        </w:p>
        <w:p w14:paraId="6E25ACE5" w14:textId="77777777" w:rsidR="00817916" w:rsidRPr="000539A9" w:rsidRDefault="00817916" w:rsidP="005A602E">
          <w:pPr>
            <w:pStyle w:val="Default"/>
            <w:jc w:val="both"/>
            <w:rPr>
              <w:rFonts w:asciiTheme="minorHAnsi" w:hAnsiTheme="minorHAnsi" w:cstheme="minorHAnsi"/>
              <w:b/>
              <w:bCs/>
              <w:color w:val="AF8200"/>
              <w:sz w:val="22"/>
              <w:szCs w:val="22"/>
            </w:rPr>
          </w:pPr>
        </w:p>
        <w:p w14:paraId="3666CF91" w14:textId="77777777" w:rsidR="00817916" w:rsidRPr="00523425" w:rsidRDefault="00817916" w:rsidP="005A602E">
          <w:pPr>
            <w:spacing w:after="0"/>
            <w:jc w:val="center"/>
            <w:rPr>
              <w:rFonts w:eastAsiaTheme="minorEastAsia" w:cstheme="minorHAnsi"/>
              <w:color w:val="AF8200"/>
              <w:sz w:val="44"/>
              <w:szCs w:val="44"/>
            </w:rPr>
          </w:pPr>
          <w:r w:rsidRPr="00523425">
            <w:rPr>
              <w:rFonts w:eastAsiaTheme="minorEastAsia" w:cstheme="minorHAnsi"/>
              <w:color w:val="AF8200"/>
              <w:sz w:val="40"/>
              <w:szCs w:val="40"/>
            </w:rPr>
            <w:t>Índice</w:t>
          </w:r>
        </w:p>
        <w:p w14:paraId="3A0757D1" w14:textId="77777777" w:rsidR="00817916" w:rsidRPr="00817916" w:rsidRDefault="00817916" w:rsidP="005A602E">
          <w:pPr>
            <w:jc w:val="both"/>
            <w:rPr>
              <w:lang w:eastAsia="pt-BR"/>
            </w:rPr>
          </w:pPr>
        </w:p>
        <w:p w14:paraId="36A5E609" w14:textId="364099B1" w:rsidR="00A621A0" w:rsidRDefault="00817916">
          <w:pPr>
            <w:pStyle w:val="Sumrio1"/>
            <w:tabs>
              <w:tab w:val="left" w:pos="480"/>
              <w:tab w:val="right" w:leader="dot" w:pos="10194"/>
            </w:tabs>
            <w:rPr>
              <w:rFonts w:eastAsiaTheme="minorEastAsia"/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6551443" w:history="1">
            <w:r w:rsidR="00A621A0" w:rsidRPr="008442C3">
              <w:rPr>
                <w:rStyle w:val="Hyperlink"/>
                <w:rFonts w:ascii="Wingdings" w:eastAsia="Calibri" w:hAnsi="Wingdings" w:cs="Calibri"/>
                <w:noProof/>
              </w:rPr>
              <w:t></w:t>
            </w:r>
            <w:r w:rsidR="00A621A0">
              <w:rPr>
                <w:rFonts w:eastAsiaTheme="minorEastAsia"/>
                <w:noProof/>
                <w:kern w:val="2"/>
                <w:sz w:val="24"/>
                <w:szCs w:val="24"/>
                <w:lang w:eastAsia="pt-BR"/>
                <w14:ligatures w14:val="standardContextual"/>
              </w:rPr>
              <w:tab/>
            </w:r>
            <w:r w:rsidR="00A621A0" w:rsidRPr="008442C3">
              <w:rPr>
                <w:rStyle w:val="Hyperlink"/>
                <w:rFonts w:ascii="Calibri" w:eastAsia="Calibri" w:hAnsi="Calibri" w:cs="Calibri"/>
                <w:b/>
                <w:bCs/>
                <w:noProof/>
              </w:rPr>
              <w:t>STF: Pedido de destaque zera placar de julgamento sobre imunidade do ITBI na integralização do capital</w:t>
            </w:r>
            <w:r w:rsidR="00A621A0">
              <w:rPr>
                <w:noProof/>
                <w:webHidden/>
              </w:rPr>
              <w:tab/>
            </w:r>
            <w:r w:rsidR="00A621A0">
              <w:rPr>
                <w:noProof/>
                <w:webHidden/>
              </w:rPr>
              <w:fldChar w:fldCharType="begin"/>
            </w:r>
            <w:r w:rsidR="00A621A0">
              <w:rPr>
                <w:noProof/>
                <w:webHidden/>
              </w:rPr>
              <w:instrText xml:space="preserve"> PAGEREF _Toc226551443 \h </w:instrText>
            </w:r>
            <w:r w:rsidR="00A621A0">
              <w:rPr>
                <w:noProof/>
                <w:webHidden/>
              </w:rPr>
            </w:r>
            <w:r w:rsidR="00A621A0">
              <w:rPr>
                <w:noProof/>
                <w:webHidden/>
              </w:rPr>
              <w:fldChar w:fldCharType="separate"/>
            </w:r>
            <w:r w:rsidR="00A621A0">
              <w:rPr>
                <w:noProof/>
                <w:webHidden/>
              </w:rPr>
              <w:t>2</w:t>
            </w:r>
            <w:r w:rsidR="00A621A0">
              <w:rPr>
                <w:noProof/>
                <w:webHidden/>
              </w:rPr>
              <w:fldChar w:fldCharType="end"/>
            </w:r>
          </w:hyperlink>
        </w:p>
        <w:p w14:paraId="1576C934" w14:textId="3EA11688" w:rsidR="00A621A0" w:rsidRDefault="00A621A0">
          <w:pPr>
            <w:pStyle w:val="Sumrio1"/>
            <w:tabs>
              <w:tab w:val="left" w:pos="480"/>
              <w:tab w:val="right" w:leader="dot" w:pos="10194"/>
            </w:tabs>
            <w:rPr>
              <w:rFonts w:eastAsiaTheme="minorEastAsia"/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6551444" w:history="1">
            <w:r w:rsidRPr="008442C3">
              <w:rPr>
                <w:rStyle w:val="Hyperlink"/>
                <w:rFonts w:ascii="Wingdings" w:hAnsi="Wingdings" w:cs="Calibri"/>
                <w:noProof/>
              </w:rPr>
              <w:t>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t-BR"/>
                <w14:ligatures w14:val="standardContextual"/>
              </w:rPr>
              <w:tab/>
            </w:r>
            <w:r w:rsidRPr="008442C3">
              <w:rPr>
                <w:rStyle w:val="Hyperlink"/>
                <w:rFonts w:ascii="Calibri" w:hAnsi="Calibri" w:cs="Calibri"/>
                <w:b/>
                <w:bCs/>
                <w:noProof/>
              </w:rPr>
              <w:t>STF valida normas paulistas contra devedores contumazes de ICMS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_Toc226551444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1192E1" w14:textId="6613950B" w:rsidR="00A621A0" w:rsidRDefault="00A621A0">
          <w:pPr>
            <w:pStyle w:val="Sumrio1"/>
            <w:tabs>
              <w:tab w:val="left" w:pos="480"/>
              <w:tab w:val="right" w:leader="dot" w:pos="10194"/>
            </w:tabs>
            <w:rPr>
              <w:rFonts w:eastAsiaTheme="minorEastAsia"/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6551445" w:history="1">
            <w:r w:rsidRPr="008442C3">
              <w:rPr>
                <w:rStyle w:val="Hyperlink"/>
                <w:rFonts w:ascii="Wingdings" w:eastAsia="Calibri" w:hAnsi="Wingdings" w:cs="Calibri"/>
                <w:noProof/>
              </w:rPr>
              <w:t>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t-BR"/>
                <w14:ligatures w14:val="standardContextual"/>
              </w:rPr>
              <w:tab/>
            </w:r>
            <w:r w:rsidRPr="008442C3">
              <w:rPr>
                <w:rStyle w:val="Hyperlink"/>
                <w:rFonts w:ascii="Calibri" w:eastAsia="Calibri" w:hAnsi="Calibri" w:cs="Calibri"/>
                <w:b/>
                <w:bCs/>
                <w:noProof/>
              </w:rPr>
              <w:t>Contribuição Previdenciária Patronal sobre o 13º salário proporcional ao aviso prévio será julgada em repercussão geral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_Toc226551445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3C840E" w14:textId="5E6F2399" w:rsidR="00A621A0" w:rsidRDefault="00A621A0">
          <w:pPr>
            <w:pStyle w:val="Sumrio1"/>
            <w:tabs>
              <w:tab w:val="left" w:pos="480"/>
              <w:tab w:val="right" w:leader="dot" w:pos="10194"/>
            </w:tabs>
            <w:rPr>
              <w:rFonts w:eastAsiaTheme="minorEastAsia"/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6551446" w:history="1">
            <w:r w:rsidRPr="008442C3">
              <w:rPr>
                <w:rStyle w:val="Hyperlink"/>
                <w:rFonts w:ascii="Wingdings" w:eastAsia="Calibri" w:hAnsi="Wingdings" w:cs="Calibri"/>
                <w:bCs/>
                <w:noProof/>
              </w:rPr>
              <w:t>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t-BR"/>
                <w14:ligatures w14:val="standardContextual"/>
              </w:rPr>
              <w:tab/>
            </w:r>
            <w:r w:rsidRPr="008442C3">
              <w:rPr>
                <w:rStyle w:val="Hyperlink"/>
                <w:rFonts w:ascii="Calibri" w:eastAsia="Calibri" w:hAnsi="Calibri" w:cs="Calibri"/>
                <w:b/>
                <w:bCs/>
                <w:noProof/>
              </w:rPr>
              <w:t>STF suspende julgamento com repercussão geral sobre manutenção de créditos de ICMS em operações interestaduais com combustíveis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_Toc226551446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A2B70B" w14:textId="18FBA1AA" w:rsidR="00A621A0" w:rsidRDefault="00A621A0">
          <w:pPr>
            <w:pStyle w:val="Sumrio1"/>
            <w:tabs>
              <w:tab w:val="left" w:pos="480"/>
              <w:tab w:val="right" w:leader="dot" w:pos="10194"/>
            </w:tabs>
            <w:rPr>
              <w:rFonts w:eastAsiaTheme="minorEastAsia"/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6551447" w:history="1">
            <w:r w:rsidRPr="008442C3">
              <w:rPr>
                <w:rStyle w:val="Hyperlink"/>
                <w:rFonts w:ascii="Wingdings" w:eastAsia="Calibri" w:hAnsi="Wingdings" w:cs="Calibri"/>
                <w:noProof/>
              </w:rPr>
              <w:t>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t-BR"/>
                <w14:ligatures w14:val="standardContextual"/>
              </w:rPr>
              <w:tab/>
            </w:r>
            <w:r w:rsidRPr="008442C3">
              <w:rPr>
                <w:rStyle w:val="Hyperlink"/>
                <w:rFonts w:ascii="Calibri" w:eastAsia="Calibri" w:hAnsi="Calibri" w:cs="Calibri"/>
                <w:b/>
                <w:bCs/>
                <w:noProof/>
              </w:rPr>
              <w:t>STF afasta tributação adicional sobre serviços de telecomunicações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_Toc226551447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55166A" w14:textId="255B4E1C" w:rsidR="00A621A0" w:rsidRDefault="00A621A0">
          <w:pPr>
            <w:pStyle w:val="Sumrio1"/>
            <w:tabs>
              <w:tab w:val="left" w:pos="480"/>
              <w:tab w:val="right" w:leader="dot" w:pos="10194"/>
            </w:tabs>
            <w:rPr>
              <w:rFonts w:eastAsiaTheme="minorEastAsia"/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6551448" w:history="1">
            <w:r w:rsidRPr="008442C3">
              <w:rPr>
                <w:rStyle w:val="Hyperlink"/>
                <w:rFonts w:ascii="Wingdings" w:eastAsia="Calibri" w:hAnsi="Wingdings" w:cs="Calibri"/>
                <w:bCs/>
                <w:noProof/>
              </w:rPr>
              <w:t>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t-BR"/>
                <w14:ligatures w14:val="standardContextual"/>
              </w:rPr>
              <w:tab/>
            </w:r>
            <w:r w:rsidRPr="008442C3">
              <w:rPr>
                <w:rStyle w:val="Hyperlink"/>
                <w:rFonts w:ascii="Calibri" w:eastAsia="Calibri" w:hAnsi="Calibri" w:cs="Calibri"/>
                <w:b/>
                <w:bCs/>
                <w:noProof/>
              </w:rPr>
              <w:t>Exclusão dos créditos presumidos de ICMS da base de cálculo do IRPJ/CSL é afetada para julgamento sob o rito dos repetitivos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_Toc226551448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499CD3" w14:textId="62AC940B" w:rsidR="00A621A0" w:rsidRDefault="00A621A0">
          <w:pPr>
            <w:pStyle w:val="Sumrio1"/>
            <w:tabs>
              <w:tab w:val="left" w:pos="480"/>
              <w:tab w:val="right" w:leader="dot" w:pos="10194"/>
            </w:tabs>
            <w:rPr>
              <w:rFonts w:eastAsiaTheme="minorEastAsia"/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6551449" w:history="1">
            <w:r w:rsidRPr="008442C3">
              <w:rPr>
                <w:rStyle w:val="Hyperlink"/>
                <w:rFonts w:ascii="Wingdings" w:eastAsia="Calibri" w:hAnsi="Wingdings" w:cs="Calibri"/>
                <w:bCs/>
                <w:noProof/>
              </w:rPr>
              <w:t>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t-BR"/>
                <w14:ligatures w14:val="standardContextual"/>
              </w:rPr>
              <w:tab/>
            </w:r>
            <w:r w:rsidRPr="008442C3">
              <w:rPr>
                <w:rStyle w:val="Hyperlink"/>
                <w:rFonts w:ascii="Calibri" w:eastAsia="Calibri" w:hAnsi="Calibri" w:cs="Calibri"/>
                <w:b/>
                <w:bCs/>
                <w:noProof/>
              </w:rPr>
              <w:t>CSRF admite retroatividade de lei que define o conceito de “praça”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_Toc226551449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22CF5" w14:textId="66796A1E" w:rsidR="00A621A0" w:rsidRDefault="00A621A0">
          <w:pPr>
            <w:pStyle w:val="Sumrio1"/>
            <w:tabs>
              <w:tab w:val="left" w:pos="480"/>
              <w:tab w:val="right" w:leader="dot" w:pos="10194"/>
            </w:tabs>
            <w:rPr>
              <w:rFonts w:eastAsiaTheme="minorEastAsia"/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6551450" w:history="1">
            <w:r w:rsidRPr="008442C3">
              <w:rPr>
                <w:rStyle w:val="Hyperlink"/>
                <w:rFonts w:ascii="Wingdings" w:hAnsi="Wingdings" w:cs="Calibri"/>
                <w:bCs/>
                <w:noProof/>
              </w:rPr>
              <w:t>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t-BR"/>
                <w14:ligatures w14:val="standardContextual"/>
              </w:rPr>
              <w:tab/>
            </w:r>
            <w:r w:rsidRPr="008442C3">
              <w:rPr>
                <w:rStyle w:val="Hyperlink"/>
                <w:rFonts w:ascii="Calibri" w:hAnsi="Calibri" w:cs="Calibri"/>
                <w:b/>
                <w:bCs/>
                <w:noProof/>
              </w:rPr>
              <w:t>Liminar suspende restrições impostas pelo TCU ao aproveitamento de prejuízos fiscais em transações tributárias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_Toc226551450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5398D5" w14:textId="34B73854" w:rsidR="00A621A0" w:rsidRDefault="00A621A0">
          <w:pPr>
            <w:pStyle w:val="Sumrio1"/>
            <w:tabs>
              <w:tab w:val="left" w:pos="480"/>
              <w:tab w:val="right" w:leader="dot" w:pos="10194"/>
            </w:tabs>
            <w:rPr>
              <w:rFonts w:eastAsiaTheme="minorEastAsia"/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6551451" w:history="1">
            <w:r w:rsidRPr="008442C3">
              <w:rPr>
                <w:rStyle w:val="Hyperlink"/>
                <w:rFonts w:ascii="Wingdings" w:eastAsia="Calibri" w:hAnsi="Wingdings" w:cs="Calibri"/>
                <w:bCs/>
                <w:noProof/>
              </w:rPr>
              <w:t>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t-BR"/>
                <w14:ligatures w14:val="standardContextual"/>
              </w:rPr>
              <w:tab/>
            </w:r>
            <w:r w:rsidRPr="008442C3">
              <w:rPr>
                <w:rStyle w:val="Hyperlink"/>
                <w:rFonts w:ascii="Calibri" w:eastAsia="Calibri" w:hAnsi="Calibri" w:cs="Calibri"/>
                <w:b/>
                <w:bCs/>
                <w:noProof/>
              </w:rPr>
              <w:t>MP que tributa exportação de petróleo tende a ser judicializada, avalia Gustavo Brigagão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_Toc226551451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AF772" w14:textId="2A8CD856" w:rsidR="00A621A0" w:rsidRDefault="00A621A0">
          <w:pPr>
            <w:pStyle w:val="Sumrio1"/>
            <w:tabs>
              <w:tab w:val="left" w:pos="480"/>
              <w:tab w:val="right" w:leader="dot" w:pos="10194"/>
            </w:tabs>
            <w:rPr>
              <w:rFonts w:eastAsiaTheme="minorEastAsia"/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6551452" w:history="1">
            <w:r w:rsidRPr="008442C3">
              <w:rPr>
                <w:rStyle w:val="Hyperlink"/>
                <w:rFonts w:ascii="Wingdings" w:eastAsia="Calibri" w:hAnsi="Wingdings" w:cs="Calibri"/>
                <w:bCs/>
                <w:noProof/>
              </w:rPr>
              <w:t>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t-BR"/>
                <w14:ligatures w14:val="standardContextual"/>
              </w:rPr>
              <w:tab/>
            </w:r>
            <w:r w:rsidRPr="008442C3">
              <w:rPr>
                <w:rStyle w:val="Hyperlink"/>
                <w:rFonts w:ascii="Calibri" w:eastAsia="Calibri" w:hAnsi="Calibri" w:cs="Calibri"/>
                <w:b/>
                <w:bCs/>
                <w:noProof/>
              </w:rPr>
              <w:t>Justiça admite apropriação de créditos de PIS/Cofins sobre despesas com pessoal previstas em acordo coletivo de trabalho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_Toc226551452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93C8FA" w14:textId="4DB3E445" w:rsidR="00A621A0" w:rsidRDefault="00A621A0">
          <w:pPr>
            <w:pStyle w:val="Sumrio1"/>
            <w:tabs>
              <w:tab w:val="left" w:pos="480"/>
              <w:tab w:val="right" w:leader="dot" w:pos="10194"/>
            </w:tabs>
            <w:rPr>
              <w:rFonts w:eastAsiaTheme="minorEastAsia"/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6551453" w:history="1">
            <w:r w:rsidRPr="008442C3">
              <w:rPr>
                <w:rStyle w:val="Hyperlink"/>
                <w:rFonts w:ascii="Wingdings" w:hAnsi="Wingdings" w:cs="Calibri"/>
                <w:noProof/>
              </w:rPr>
              <w:t>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t-BR"/>
                <w14:ligatures w14:val="standardContextual"/>
              </w:rPr>
              <w:tab/>
            </w:r>
            <w:r w:rsidRPr="008442C3">
              <w:rPr>
                <w:rStyle w:val="Hyperlink"/>
                <w:rFonts w:ascii="Calibri" w:hAnsi="Calibri" w:cs="Calibri"/>
                <w:b/>
                <w:bCs/>
                <w:noProof/>
              </w:rPr>
              <w:t>Governo Federal institui pacote tributário para o setor de combustíveis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_Toc226551453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E2566E" w14:textId="63AF949C" w:rsidR="00C428DF" w:rsidRDefault="00817916" w:rsidP="00DE7736">
          <w:pPr>
            <w:jc w:val="both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14:paraId="17D05488" w14:textId="2BF6F85F" w:rsidR="008429F2" w:rsidRPr="007F2F8B" w:rsidRDefault="00000000" w:rsidP="007F2F8B">
          <w:pPr>
            <w:jc w:val="both"/>
            <w:rPr>
              <w:b/>
              <w:bCs/>
            </w:rPr>
          </w:pPr>
        </w:p>
      </w:sdtContent>
    </w:sdt>
    <w:bookmarkEnd w:id="0" w:displacedByCustomXml="prev"/>
    <w:bookmarkEnd w:id="1" w:displacedByCustomXml="prev"/>
    <w:bookmarkStart w:id="2" w:name="_Toc218766519" w:displacedByCustomXml="prev"/>
    <w:p w14:paraId="58FD3B7D" w14:textId="77777777" w:rsidR="00132A79" w:rsidRPr="00132A79" w:rsidRDefault="00132A79" w:rsidP="00132A79">
      <w:pPr>
        <w:spacing w:after="0" w:line="240" w:lineRule="auto"/>
        <w:ind w:left="360"/>
        <w:contextualSpacing/>
        <w:jc w:val="both"/>
        <w:outlineLvl w:val="0"/>
        <w:rPr>
          <w:rFonts w:ascii="Calibri" w:eastAsia="Calibri" w:hAnsi="Calibri" w:cs="Calibri"/>
          <w:sz w:val="24"/>
          <w:szCs w:val="24"/>
        </w:rPr>
      </w:pPr>
    </w:p>
    <w:p w14:paraId="7E51F9F2" w14:textId="77777777" w:rsidR="00132A79" w:rsidRPr="00132A79" w:rsidRDefault="00132A79" w:rsidP="00132A79">
      <w:pPr>
        <w:spacing w:after="0" w:line="240" w:lineRule="auto"/>
        <w:ind w:left="360"/>
        <w:contextualSpacing/>
        <w:jc w:val="both"/>
        <w:outlineLvl w:val="0"/>
        <w:rPr>
          <w:rFonts w:ascii="Calibri" w:eastAsia="Calibri" w:hAnsi="Calibri" w:cs="Calibri"/>
          <w:sz w:val="24"/>
          <w:szCs w:val="24"/>
        </w:rPr>
      </w:pPr>
    </w:p>
    <w:p w14:paraId="437A8584" w14:textId="77777777" w:rsidR="00132A79" w:rsidRPr="00132A79" w:rsidRDefault="00132A79" w:rsidP="00132A79">
      <w:pPr>
        <w:spacing w:after="0" w:line="240" w:lineRule="auto"/>
        <w:ind w:left="360"/>
        <w:contextualSpacing/>
        <w:jc w:val="both"/>
        <w:outlineLvl w:val="0"/>
        <w:rPr>
          <w:rFonts w:ascii="Calibri" w:eastAsia="Calibri" w:hAnsi="Calibri" w:cs="Calibri"/>
          <w:sz w:val="24"/>
          <w:szCs w:val="24"/>
        </w:rPr>
      </w:pPr>
    </w:p>
    <w:p w14:paraId="758EE71A" w14:textId="77777777" w:rsidR="00132A79" w:rsidRPr="00132A79" w:rsidRDefault="00132A79" w:rsidP="00132A79">
      <w:pPr>
        <w:spacing w:after="0" w:line="240" w:lineRule="auto"/>
        <w:ind w:left="360"/>
        <w:contextualSpacing/>
        <w:jc w:val="both"/>
        <w:outlineLvl w:val="0"/>
        <w:rPr>
          <w:rFonts w:ascii="Calibri" w:eastAsia="Calibri" w:hAnsi="Calibri" w:cs="Calibri"/>
          <w:sz w:val="24"/>
          <w:szCs w:val="24"/>
        </w:rPr>
      </w:pPr>
    </w:p>
    <w:p w14:paraId="1508CFE4" w14:textId="77777777" w:rsidR="00132A79" w:rsidRPr="00132A79" w:rsidRDefault="00132A79" w:rsidP="00132A79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sz w:val="24"/>
          <w:szCs w:val="24"/>
        </w:rPr>
      </w:pPr>
    </w:p>
    <w:p w14:paraId="6685C6DC" w14:textId="77777777" w:rsidR="00132A79" w:rsidRPr="00132A79" w:rsidRDefault="00132A79" w:rsidP="00132A79">
      <w:pPr>
        <w:spacing w:after="0" w:line="240" w:lineRule="auto"/>
        <w:ind w:left="360"/>
        <w:contextualSpacing/>
        <w:jc w:val="both"/>
        <w:outlineLvl w:val="0"/>
        <w:rPr>
          <w:rFonts w:ascii="Calibri" w:eastAsia="Calibri" w:hAnsi="Calibri" w:cs="Calibri"/>
          <w:sz w:val="24"/>
          <w:szCs w:val="24"/>
        </w:rPr>
      </w:pPr>
    </w:p>
    <w:p w14:paraId="45503EE6" w14:textId="77777777" w:rsidR="00132A79" w:rsidRPr="00132A79" w:rsidRDefault="00132A79" w:rsidP="00132A79">
      <w:pPr>
        <w:spacing w:after="0" w:line="240" w:lineRule="auto"/>
        <w:ind w:left="360"/>
        <w:contextualSpacing/>
        <w:jc w:val="both"/>
        <w:outlineLvl w:val="0"/>
        <w:rPr>
          <w:rFonts w:ascii="Calibri" w:eastAsia="Calibri" w:hAnsi="Calibri" w:cs="Calibri"/>
          <w:sz w:val="24"/>
          <w:szCs w:val="24"/>
        </w:rPr>
      </w:pPr>
    </w:p>
    <w:p w14:paraId="6C3BB952" w14:textId="77777777" w:rsidR="00132A79" w:rsidRPr="00132A79" w:rsidRDefault="00132A79" w:rsidP="00132A79">
      <w:pPr>
        <w:spacing w:after="0" w:line="240" w:lineRule="auto"/>
        <w:ind w:left="360"/>
        <w:contextualSpacing/>
        <w:jc w:val="both"/>
        <w:outlineLvl w:val="0"/>
        <w:rPr>
          <w:rFonts w:ascii="Calibri" w:eastAsia="Calibri" w:hAnsi="Calibri" w:cs="Calibri"/>
          <w:sz w:val="24"/>
          <w:szCs w:val="24"/>
        </w:rPr>
      </w:pPr>
    </w:p>
    <w:p w14:paraId="2CA803EC" w14:textId="3289D1A0" w:rsidR="007A6ADC" w:rsidRPr="007A6ADC" w:rsidRDefault="007A6ADC" w:rsidP="007A6ADC">
      <w:pPr>
        <w:numPr>
          <w:ilvl w:val="0"/>
          <w:numId w:val="3"/>
        </w:num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sz w:val="24"/>
          <w:szCs w:val="24"/>
        </w:rPr>
      </w:pPr>
      <w:bookmarkStart w:id="3" w:name="_Toc226551443"/>
      <w:r w:rsidRPr="007A6ADC">
        <w:rPr>
          <w:rFonts w:ascii="Calibri" w:eastAsia="Calibri" w:hAnsi="Calibri" w:cs="Calibri"/>
          <w:b/>
          <w:bCs/>
          <w:color w:val="B08200"/>
          <w:sz w:val="28"/>
          <w:szCs w:val="28"/>
        </w:rPr>
        <w:lastRenderedPageBreak/>
        <w:t xml:space="preserve">STF: </w:t>
      </w:r>
      <w:r w:rsidR="00FA41E2">
        <w:rPr>
          <w:rFonts w:ascii="Calibri" w:eastAsia="Calibri" w:hAnsi="Calibri" w:cs="Calibri"/>
          <w:b/>
          <w:bCs/>
          <w:color w:val="B08200"/>
          <w:sz w:val="28"/>
          <w:szCs w:val="28"/>
        </w:rPr>
        <w:t>Pedido de destaque zera p</w:t>
      </w:r>
      <w:r w:rsidRPr="007A6ADC">
        <w:rPr>
          <w:rFonts w:ascii="Calibri" w:eastAsia="Calibri" w:hAnsi="Calibri" w:cs="Calibri"/>
          <w:b/>
          <w:bCs/>
          <w:color w:val="B08200"/>
          <w:sz w:val="28"/>
          <w:szCs w:val="28"/>
        </w:rPr>
        <w:t>lacar d</w:t>
      </w:r>
      <w:r w:rsidR="00FA41E2">
        <w:rPr>
          <w:rFonts w:ascii="Calibri" w:eastAsia="Calibri" w:hAnsi="Calibri" w:cs="Calibri"/>
          <w:b/>
          <w:bCs/>
          <w:color w:val="B08200"/>
          <w:sz w:val="28"/>
          <w:szCs w:val="28"/>
        </w:rPr>
        <w:t>e</w:t>
      </w:r>
      <w:r w:rsidRPr="007A6ADC">
        <w:rPr>
          <w:rFonts w:ascii="Calibri" w:eastAsia="Calibri" w:hAnsi="Calibri" w:cs="Calibri"/>
          <w:b/>
          <w:bCs/>
          <w:color w:val="B08200"/>
          <w:sz w:val="28"/>
          <w:szCs w:val="28"/>
        </w:rPr>
        <w:t xml:space="preserve"> julgamento sobre imunidade do ITBI na integralização do capital</w:t>
      </w:r>
      <w:bookmarkEnd w:id="3"/>
      <w:r w:rsidRPr="007A6ADC">
        <w:rPr>
          <w:rFonts w:ascii="Calibri" w:eastAsia="Calibri" w:hAnsi="Calibri" w:cs="Calibri"/>
          <w:b/>
          <w:bCs/>
          <w:color w:val="B08200"/>
          <w:sz w:val="28"/>
          <w:szCs w:val="28"/>
        </w:rPr>
        <w:t xml:space="preserve"> </w:t>
      </w:r>
    </w:p>
    <w:p w14:paraId="44AB4F06" w14:textId="77777777" w:rsidR="007A6ADC" w:rsidRPr="007A6ADC" w:rsidRDefault="007A6ADC" w:rsidP="007A6ADC">
      <w:pPr>
        <w:spacing w:after="0" w:line="240" w:lineRule="auto"/>
        <w:ind w:firstLine="357"/>
        <w:jc w:val="both"/>
        <w:rPr>
          <w:rFonts w:ascii="Calibri" w:eastAsia="Calibri" w:hAnsi="Calibri" w:cs="Calibri"/>
          <w:sz w:val="24"/>
          <w:szCs w:val="24"/>
        </w:rPr>
      </w:pPr>
    </w:p>
    <w:p w14:paraId="7B036E4C" w14:textId="5BC5CB6F" w:rsidR="007A6ADC" w:rsidRPr="007A6ADC" w:rsidRDefault="007A6ADC" w:rsidP="007A6ADC">
      <w:pPr>
        <w:spacing w:after="0" w:line="240" w:lineRule="auto"/>
        <w:ind w:firstLine="357"/>
        <w:jc w:val="both"/>
        <w:rPr>
          <w:rFonts w:ascii="Calibri" w:eastAsia="Calibri" w:hAnsi="Calibri" w:cs="Calibri"/>
          <w:sz w:val="24"/>
          <w:szCs w:val="24"/>
        </w:rPr>
      </w:pPr>
      <w:r w:rsidRPr="007A6ADC">
        <w:rPr>
          <w:rFonts w:ascii="Calibri" w:eastAsia="Calibri" w:hAnsi="Calibri" w:cs="Calibri"/>
          <w:sz w:val="24"/>
          <w:szCs w:val="24"/>
        </w:rPr>
        <w:t xml:space="preserve">O Min. Flavio Dino pediu destaque no julgamento do Tema 1348 da Repercussão Geral (RE 1.495.108), que </w:t>
      </w:r>
      <w:r w:rsidR="005E6365">
        <w:rPr>
          <w:rFonts w:ascii="Calibri" w:eastAsia="Calibri" w:hAnsi="Calibri" w:cs="Calibri"/>
          <w:sz w:val="24"/>
          <w:szCs w:val="24"/>
        </w:rPr>
        <w:t>discute</w:t>
      </w:r>
      <w:r w:rsidRPr="007A6ADC">
        <w:rPr>
          <w:rFonts w:ascii="Calibri" w:eastAsia="Calibri" w:hAnsi="Calibri" w:cs="Calibri"/>
          <w:sz w:val="24"/>
          <w:szCs w:val="24"/>
        </w:rPr>
        <w:t xml:space="preserve"> a extensão da imunidade do ITBI prevista no inciso I do § 2º do art. 156 da CF/1988, </w:t>
      </w:r>
      <w:r w:rsidR="005E6365">
        <w:rPr>
          <w:rFonts w:ascii="Calibri" w:eastAsia="Calibri" w:hAnsi="Calibri" w:cs="Calibri"/>
          <w:sz w:val="24"/>
          <w:szCs w:val="24"/>
        </w:rPr>
        <w:t>no caso de</w:t>
      </w:r>
      <w:r w:rsidRPr="007A6ADC">
        <w:rPr>
          <w:rFonts w:ascii="Calibri" w:eastAsia="Calibri" w:hAnsi="Calibri" w:cs="Calibri"/>
          <w:sz w:val="24"/>
          <w:szCs w:val="24"/>
        </w:rPr>
        <w:t xml:space="preserve"> integralização </w:t>
      </w:r>
      <w:r w:rsidR="005E6365">
        <w:rPr>
          <w:rFonts w:ascii="Calibri" w:eastAsia="Calibri" w:hAnsi="Calibri" w:cs="Calibri"/>
          <w:sz w:val="24"/>
          <w:szCs w:val="24"/>
        </w:rPr>
        <w:t xml:space="preserve">de bens imóveis </w:t>
      </w:r>
      <w:r w:rsidR="00C30125">
        <w:rPr>
          <w:rFonts w:ascii="Calibri" w:eastAsia="Calibri" w:hAnsi="Calibri" w:cs="Calibri"/>
          <w:sz w:val="24"/>
          <w:szCs w:val="24"/>
        </w:rPr>
        <w:t xml:space="preserve">ao </w:t>
      </w:r>
      <w:r w:rsidRPr="007A6ADC">
        <w:rPr>
          <w:rFonts w:ascii="Calibri" w:eastAsia="Calibri" w:hAnsi="Calibri" w:cs="Calibri"/>
          <w:sz w:val="24"/>
          <w:szCs w:val="24"/>
        </w:rPr>
        <w:t>capital social</w:t>
      </w:r>
      <w:r w:rsidR="005E6365">
        <w:rPr>
          <w:rFonts w:ascii="Calibri" w:eastAsia="Calibri" w:hAnsi="Calibri" w:cs="Calibri"/>
          <w:sz w:val="24"/>
          <w:szCs w:val="24"/>
        </w:rPr>
        <w:t xml:space="preserve"> de empresas</w:t>
      </w:r>
      <w:r w:rsidR="00C30125">
        <w:rPr>
          <w:rFonts w:ascii="Calibri" w:eastAsia="Calibri" w:hAnsi="Calibri" w:cs="Calibri"/>
          <w:sz w:val="24"/>
          <w:szCs w:val="24"/>
        </w:rPr>
        <w:t xml:space="preserve"> </w:t>
      </w:r>
      <w:r w:rsidR="00C30125" w:rsidRPr="00C30125">
        <w:rPr>
          <w:rFonts w:ascii="Calibri" w:eastAsia="Calibri" w:hAnsi="Calibri" w:cs="Calibri"/>
          <w:sz w:val="24"/>
          <w:szCs w:val="24"/>
        </w:rPr>
        <w:t>cuja atividade preponderante consista na compra, venda ou locação de imóveis.</w:t>
      </w:r>
    </w:p>
    <w:p w14:paraId="4DAB40A3" w14:textId="77777777" w:rsidR="007A6ADC" w:rsidRPr="007A6ADC" w:rsidRDefault="007A6ADC" w:rsidP="007A6ADC">
      <w:pPr>
        <w:spacing w:after="0" w:line="240" w:lineRule="auto"/>
        <w:ind w:firstLine="357"/>
        <w:jc w:val="both"/>
        <w:rPr>
          <w:rFonts w:ascii="Calibri" w:eastAsia="Calibri" w:hAnsi="Calibri" w:cs="Calibri"/>
          <w:sz w:val="24"/>
          <w:szCs w:val="24"/>
        </w:rPr>
      </w:pPr>
    </w:p>
    <w:p w14:paraId="3DDB7DC3" w14:textId="65EF6601" w:rsidR="007A6ADC" w:rsidRPr="007A6ADC" w:rsidRDefault="00C30125" w:rsidP="007A6ADC">
      <w:pPr>
        <w:spacing w:after="0" w:line="240" w:lineRule="auto"/>
        <w:ind w:firstLine="35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</w:t>
      </w:r>
      <w:r w:rsidR="007A6ADC" w:rsidRPr="007A6ADC">
        <w:rPr>
          <w:rFonts w:ascii="Calibri" w:eastAsia="Calibri" w:hAnsi="Calibri" w:cs="Calibri"/>
          <w:sz w:val="24"/>
          <w:szCs w:val="24"/>
        </w:rPr>
        <w:t xml:space="preserve">embre-se que </w:t>
      </w:r>
      <w:r>
        <w:rPr>
          <w:rFonts w:ascii="Calibri" w:eastAsia="Calibri" w:hAnsi="Calibri" w:cs="Calibri"/>
          <w:sz w:val="24"/>
          <w:szCs w:val="24"/>
        </w:rPr>
        <w:t xml:space="preserve">a matéria </w:t>
      </w:r>
      <w:r w:rsidR="007A6ADC" w:rsidRPr="007A6ADC">
        <w:rPr>
          <w:rFonts w:ascii="Calibri" w:eastAsia="Calibri" w:hAnsi="Calibri" w:cs="Calibri"/>
          <w:sz w:val="24"/>
          <w:szCs w:val="24"/>
        </w:rPr>
        <w:t>passou a ser debatid</w:t>
      </w:r>
      <w:r>
        <w:rPr>
          <w:rFonts w:ascii="Calibri" w:eastAsia="Calibri" w:hAnsi="Calibri" w:cs="Calibri"/>
          <w:sz w:val="24"/>
          <w:szCs w:val="24"/>
        </w:rPr>
        <w:t>a</w:t>
      </w:r>
      <w:r w:rsidR="007A6ADC" w:rsidRPr="007A6ADC">
        <w:rPr>
          <w:rFonts w:ascii="Calibri" w:eastAsia="Calibri" w:hAnsi="Calibri" w:cs="Calibri"/>
          <w:sz w:val="24"/>
          <w:szCs w:val="24"/>
        </w:rPr>
        <w:t xml:space="preserve"> após o julgamento do RE 796.376 (Tema 796 da Repercussão Geral), que examinava a possibilidade de cobrança do ITBI sobre o valor do imóvel que excedesse o limite do capital social a ser integralizado, mesmo em sociedades “não imobiliárias”. Na ocasião, o Min. Alexandre de Moraes manifestou em seu voto vencedor que a imunidade do ITBI na integralização de imóveis seria aplicável independentemente da atividade preponderante da sociedade.</w:t>
      </w:r>
    </w:p>
    <w:p w14:paraId="287485CC" w14:textId="77777777" w:rsidR="007A6ADC" w:rsidRPr="007A6ADC" w:rsidRDefault="007A6ADC" w:rsidP="007A6ADC">
      <w:pPr>
        <w:spacing w:after="0" w:line="240" w:lineRule="auto"/>
        <w:ind w:firstLine="357"/>
        <w:jc w:val="both"/>
        <w:rPr>
          <w:rFonts w:ascii="Calibri" w:eastAsia="Calibri" w:hAnsi="Calibri" w:cs="Calibri"/>
          <w:sz w:val="24"/>
          <w:szCs w:val="24"/>
        </w:rPr>
      </w:pPr>
    </w:p>
    <w:p w14:paraId="193DA26D" w14:textId="584C0FDD" w:rsidR="007A6ADC" w:rsidRPr="007A6ADC" w:rsidRDefault="007A6ADC" w:rsidP="007A6ADC">
      <w:pPr>
        <w:spacing w:after="0" w:line="240" w:lineRule="auto"/>
        <w:ind w:firstLine="357"/>
        <w:jc w:val="both"/>
        <w:rPr>
          <w:rFonts w:ascii="Calibri" w:eastAsia="Calibri" w:hAnsi="Calibri" w:cs="Calibri"/>
          <w:sz w:val="24"/>
          <w:szCs w:val="24"/>
        </w:rPr>
      </w:pPr>
      <w:r w:rsidRPr="007A6ADC">
        <w:rPr>
          <w:rFonts w:ascii="Calibri" w:eastAsia="Calibri" w:hAnsi="Calibri" w:cs="Calibri"/>
          <w:sz w:val="24"/>
          <w:szCs w:val="24"/>
        </w:rPr>
        <w:t>Ocorre que tal manifestação suscitou controvérsias, sobretudo por ter sido considerada por parte d</w:t>
      </w:r>
      <w:r w:rsidR="00C30125">
        <w:rPr>
          <w:rFonts w:ascii="Calibri" w:eastAsia="Calibri" w:hAnsi="Calibri" w:cs="Calibri"/>
          <w:sz w:val="24"/>
          <w:szCs w:val="24"/>
        </w:rPr>
        <w:t xml:space="preserve">o Poder Judiciário </w:t>
      </w:r>
      <w:r w:rsidRPr="007A6ADC">
        <w:rPr>
          <w:rFonts w:ascii="Calibri" w:eastAsia="Calibri" w:hAnsi="Calibri" w:cs="Calibri"/>
          <w:sz w:val="24"/>
          <w:szCs w:val="24"/>
        </w:rPr>
        <w:t xml:space="preserve">como </w:t>
      </w:r>
      <w:r w:rsidR="008614FF">
        <w:rPr>
          <w:rFonts w:ascii="Calibri" w:eastAsia="Calibri" w:hAnsi="Calibri" w:cs="Calibri"/>
          <w:sz w:val="24"/>
          <w:szCs w:val="24"/>
        </w:rPr>
        <w:t>“</w:t>
      </w:r>
      <w:proofErr w:type="spellStart"/>
      <w:r w:rsidRPr="007A6ADC">
        <w:rPr>
          <w:rFonts w:ascii="Calibri" w:eastAsia="Calibri" w:hAnsi="Calibri" w:cs="Calibri"/>
          <w:sz w:val="24"/>
          <w:szCs w:val="24"/>
        </w:rPr>
        <w:t>obiter</w:t>
      </w:r>
      <w:proofErr w:type="spellEnd"/>
      <w:r w:rsidRPr="007A6ADC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7A6ADC">
        <w:rPr>
          <w:rFonts w:ascii="Calibri" w:eastAsia="Calibri" w:hAnsi="Calibri" w:cs="Calibri"/>
          <w:sz w:val="24"/>
          <w:szCs w:val="24"/>
        </w:rPr>
        <w:t>dictum</w:t>
      </w:r>
      <w:proofErr w:type="spellEnd"/>
      <w:r w:rsidRPr="007A6ADC">
        <w:rPr>
          <w:rFonts w:ascii="Calibri" w:eastAsia="Calibri" w:hAnsi="Calibri" w:cs="Calibri"/>
          <w:sz w:val="24"/>
          <w:szCs w:val="24"/>
        </w:rPr>
        <w:t>”, razão pelo qual não teria caráter vinculante para os tribunais. Ainda assim, alguns contribuintes passaram a invocá-la para sustentar a aplicação da imunidade em situações análogas, o que resultou na formação de precedentes divergentes sobre a matéria.</w:t>
      </w:r>
    </w:p>
    <w:p w14:paraId="6C8CF5BA" w14:textId="77777777" w:rsidR="007A6ADC" w:rsidRPr="007A6ADC" w:rsidRDefault="007A6ADC" w:rsidP="007A6ADC">
      <w:pPr>
        <w:spacing w:after="0" w:line="240" w:lineRule="auto"/>
        <w:ind w:firstLine="357"/>
        <w:jc w:val="both"/>
        <w:rPr>
          <w:rFonts w:ascii="Calibri" w:eastAsia="Calibri" w:hAnsi="Calibri" w:cs="Calibri"/>
          <w:sz w:val="24"/>
          <w:szCs w:val="24"/>
        </w:rPr>
      </w:pPr>
    </w:p>
    <w:p w14:paraId="76BBE15E" w14:textId="77777777" w:rsidR="007A6ADC" w:rsidRPr="007A6ADC" w:rsidRDefault="007A6ADC" w:rsidP="007A6ADC">
      <w:pPr>
        <w:spacing w:after="0" w:line="240" w:lineRule="auto"/>
        <w:ind w:firstLine="357"/>
        <w:jc w:val="both"/>
        <w:rPr>
          <w:rFonts w:ascii="Calibri" w:eastAsia="Calibri" w:hAnsi="Calibri" w:cs="Calibri"/>
          <w:sz w:val="24"/>
          <w:szCs w:val="24"/>
        </w:rPr>
      </w:pPr>
      <w:r w:rsidRPr="007A6ADC">
        <w:rPr>
          <w:rFonts w:ascii="Calibri" w:eastAsia="Calibri" w:hAnsi="Calibri" w:cs="Calibri"/>
          <w:sz w:val="24"/>
          <w:szCs w:val="24"/>
        </w:rPr>
        <w:t>Nesse contexto, a controvérsia foi submetida ao STF por meio do RE 1.495.108 (Tema 1348 da Repercussão Geral). De acordo com o voto do Min. Rel. Edson Fachin – que foi acompanhado pelos Mins. Alexandre de Moraes, Cármen Lúcia e Cristiano Zanin</w:t>
      </w:r>
      <w:r w:rsidRPr="007A6ADC">
        <w:rPr>
          <w:rFonts w:ascii="Calibri" w:eastAsia="Calibri" w:hAnsi="Calibri" w:cs="Calibri"/>
          <w:sz w:val="24"/>
          <w:szCs w:val="24"/>
          <w:vertAlign w:val="superscript"/>
        </w:rPr>
        <w:footnoteReference w:id="2"/>
      </w:r>
      <w:r w:rsidRPr="007A6ADC">
        <w:rPr>
          <w:rFonts w:ascii="Calibri" w:eastAsia="Calibri" w:hAnsi="Calibri" w:cs="Calibri"/>
          <w:sz w:val="24"/>
          <w:szCs w:val="24"/>
        </w:rPr>
        <w:t xml:space="preserve">: </w:t>
      </w:r>
      <w:r w:rsidRPr="007A6ADC">
        <w:rPr>
          <w:rFonts w:ascii="Calibri" w:eastAsia="Calibri" w:hAnsi="Calibri" w:cs="Calibri"/>
          <w:b/>
          <w:bCs/>
          <w:sz w:val="24"/>
          <w:szCs w:val="24"/>
        </w:rPr>
        <w:t>(i)</w:t>
      </w:r>
      <w:r w:rsidRPr="007A6ADC">
        <w:rPr>
          <w:rFonts w:ascii="Calibri" w:eastAsia="Calibri" w:hAnsi="Calibri" w:cs="Calibri"/>
          <w:sz w:val="24"/>
          <w:szCs w:val="24"/>
        </w:rPr>
        <w:t xml:space="preserve"> a decisão proferida no Tema 796 possui caráter vinculante, uma vez que a manifestação do Min. Alexandre de Moraes não configuraria mero </w:t>
      </w:r>
      <w:proofErr w:type="spellStart"/>
      <w:r w:rsidRPr="007A6ADC">
        <w:rPr>
          <w:rFonts w:ascii="Calibri" w:eastAsia="Calibri" w:hAnsi="Calibri" w:cs="Calibri"/>
          <w:i/>
          <w:iCs/>
          <w:sz w:val="24"/>
          <w:szCs w:val="24"/>
        </w:rPr>
        <w:t>obiter</w:t>
      </w:r>
      <w:proofErr w:type="spellEnd"/>
      <w:r w:rsidRPr="007A6ADC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Pr="007A6ADC">
        <w:rPr>
          <w:rFonts w:ascii="Calibri" w:eastAsia="Calibri" w:hAnsi="Calibri" w:cs="Calibri"/>
          <w:i/>
          <w:iCs/>
          <w:sz w:val="24"/>
          <w:szCs w:val="24"/>
        </w:rPr>
        <w:t>dictum</w:t>
      </w:r>
      <w:proofErr w:type="spellEnd"/>
      <w:r w:rsidRPr="007A6ADC">
        <w:rPr>
          <w:rFonts w:ascii="Calibri" w:eastAsia="Calibri" w:hAnsi="Calibri" w:cs="Calibri"/>
          <w:sz w:val="24"/>
          <w:szCs w:val="24"/>
        </w:rPr>
        <w:t xml:space="preserve">, mas sim a </w:t>
      </w:r>
      <w:proofErr w:type="spellStart"/>
      <w:r w:rsidRPr="007A6ADC">
        <w:rPr>
          <w:rFonts w:ascii="Calibri" w:eastAsia="Calibri" w:hAnsi="Calibri" w:cs="Calibri"/>
          <w:i/>
          <w:iCs/>
          <w:sz w:val="24"/>
          <w:szCs w:val="24"/>
        </w:rPr>
        <w:t>ratio</w:t>
      </w:r>
      <w:proofErr w:type="spellEnd"/>
      <w:r w:rsidRPr="007A6ADC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Pr="007A6ADC">
        <w:rPr>
          <w:rFonts w:ascii="Calibri" w:eastAsia="Calibri" w:hAnsi="Calibri" w:cs="Calibri"/>
          <w:i/>
          <w:iCs/>
          <w:sz w:val="24"/>
          <w:szCs w:val="24"/>
        </w:rPr>
        <w:t>decidendi</w:t>
      </w:r>
      <w:proofErr w:type="spellEnd"/>
      <w:r w:rsidRPr="007A6ADC">
        <w:rPr>
          <w:rFonts w:ascii="Calibri" w:eastAsia="Calibri" w:hAnsi="Calibri" w:cs="Calibri"/>
          <w:sz w:val="24"/>
          <w:szCs w:val="24"/>
        </w:rPr>
        <w:t xml:space="preserve"> do julgado; </w:t>
      </w:r>
      <w:r w:rsidRPr="007A6ADC">
        <w:rPr>
          <w:rFonts w:ascii="Calibri" w:eastAsia="Calibri" w:hAnsi="Calibri" w:cs="Calibri"/>
          <w:b/>
          <w:bCs/>
          <w:sz w:val="24"/>
          <w:szCs w:val="24"/>
        </w:rPr>
        <w:t xml:space="preserve">(ii) </w:t>
      </w:r>
      <w:r w:rsidRPr="007A6ADC">
        <w:rPr>
          <w:rFonts w:ascii="Calibri" w:eastAsia="Calibri" w:hAnsi="Calibri" w:cs="Calibri"/>
          <w:sz w:val="24"/>
          <w:szCs w:val="24"/>
        </w:rPr>
        <w:t xml:space="preserve">a interpretação histórica das normas relativas à imunidade do ITBI corrobora o entendimento de que a imunidade incidente sobre a integralização de capital social com bens imóveis possui caráter incondicional; e </w:t>
      </w:r>
      <w:r w:rsidRPr="007A6ADC">
        <w:rPr>
          <w:rFonts w:ascii="Calibri" w:eastAsia="Calibri" w:hAnsi="Calibri" w:cs="Calibri"/>
          <w:b/>
          <w:bCs/>
          <w:sz w:val="24"/>
          <w:szCs w:val="24"/>
        </w:rPr>
        <w:t>(iii)</w:t>
      </w:r>
      <w:r w:rsidRPr="007A6ADC">
        <w:rPr>
          <w:rFonts w:ascii="Calibri" w:eastAsia="Calibri" w:hAnsi="Calibri" w:cs="Calibri"/>
          <w:sz w:val="24"/>
          <w:szCs w:val="24"/>
        </w:rPr>
        <w:t xml:space="preserve"> essa conclusão também pode ser extraída a partir do exame gramatical do dispositivo constitucional que prevê a imunidade.</w:t>
      </w:r>
    </w:p>
    <w:p w14:paraId="20C1DCA5" w14:textId="77777777" w:rsidR="007A6ADC" w:rsidRPr="007A6ADC" w:rsidRDefault="007A6ADC" w:rsidP="007A6ADC">
      <w:pPr>
        <w:spacing w:after="0" w:line="240" w:lineRule="auto"/>
        <w:ind w:firstLine="357"/>
        <w:jc w:val="both"/>
        <w:rPr>
          <w:rFonts w:ascii="Calibri" w:eastAsia="Calibri" w:hAnsi="Calibri" w:cs="Calibri"/>
          <w:sz w:val="24"/>
          <w:szCs w:val="24"/>
        </w:rPr>
      </w:pPr>
    </w:p>
    <w:p w14:paraId="483A6568" w14:textId="77777777" w:rsidR="007A6ADC" w:rsidRPr="007A6ADC" w:rsidRDefault="007A6ADC" w:rsidP="007A6ADC">
      <w:pPr>
        <w:spacing w:after="0" w:line="240" w:lineRule="auto"/>
        <w:ind w:firstLine="357"/>
        <w:jc w:val="both"/>
        <w:rPr>
          <w:rFonts w:ascii="Calibri" w:eastAsia="Calibri" w:hAnsi="Calibri" w:cs="Calibri"/>
          <w:sz w:val="24"/>
          <w:szCs w:val="24"/>
        </w:rPr>
      </w:pPr>
      <w:r w:rsidRPr="007A6ADC">
        <w:rPr>
          <w:rFonts w:ascii="Calibri" w:eastAsia="Calibri" w:hAnsi="Calibri" w:cs="Calibri"/>
          <w:sz w:val="24"/>
          <w:szCs w:val="24"/>
        </w:rPr>
        <w:t xml:space="preserve">A divergência foi inaugurada pelo Min. Gilmar Mendes, que consignou que a interpretação gramatical da norma conduz à compreensão de que a imunidade não incide em nenhuma das hipóteses ali previstas sempre que a pessoa jurídica tiver como atividade preponderante a imobiliária. </w:t>
      </w:r>
    </w:p>
    <w:p w14:paraId="03511ADB" w14:textId="77777777" w:rsidR="007A6ADC" w:rsidRPr="007A6ADC" w:rsidRDefault="007A6ADC" w:rsidP="007A6ADC">
      <w:pPr>
        <w:spacing w:after="0" w:line="240" w:lineRule="auto"/>
        <w:ind w:firstLine="357"/>
        <w:jc w:val="both"/>
        <w:rPr>
          <w:rFonts w:ascii="Calibri" w:eastAsia="Calibri" w:hAnsi="Calibri" w:cs="Calibri"/>
          <w:sz w:val="24"/>
          <w:szCs w:val="24"/>
        </w:rPr>
      </w:pPr>
    </w:p>
    <w:p w14:paraId="21580E19" w14:textId="46F1903B" w:rsidR="007A6ADC" w:rsidRDefault="007A6ADC" w:rsidP="007A6ADC">
      <w:pPr>
        <w:spacing w:after="0" w:line="240" w:lineRule="auto"/>
        <w:ind w:firstLine="357"/>
        <w:jc w:val="both"/>
        <w:rPr>
          <w:rFonts w:ascii="Calibri" w:eastAsia="Calibri" w:hAnsi="Calibri" w:cs="Calibri"/>
          <w:sz w:val="24"/>
          <w:szCs w:val="24"/>
        </w:rPr>
      </w:pPr>
      <w:r w:rsidRPr="005E6365">
        <w:rPr>
          <w:rFonts w:ascii="Calibri" w:eastAsia="Calibri" w:hAnsi="Calibri" w:cs="Calibri"/>
          <w:sz w:val="24"/>
          <w:szCs w:val="24"/>
        </w:rPr>
        <w:t xml:space="preserve">Na sequência, o Min. Flávio Dino solicitou destaque. Em razão desse pedido, o julgamento será reiniciado no plenário físico, com </w:t>
      </w:r>
      <w:r w:rsidR="005E6365">
        <w:rPr>
          <w:rFonts w:ascii="Calibri" w:eastAsia="Calibri" w:hAnsi="Calibri" w:cs="Calibri"/>
          <w:sz w:val="24"/>
          <w:szCs w:val="24"/>
        </w:rPr>
        <w:t>descarte</w:t>
      </w:r>
      <w:r w:rsidRPr="005E6365">
        <w:rPr>
          <w:rFonts w:ascii="Calibri" w:eastAsia="Calibri" w:hAnsi="Calibri" w:cs="Calibri"/>
          <w:sz w:val="24"/>
          <w:szCs w:val="24"/>
        </w:rPr>
        <w:t xml:space="preserve"> dos votos anteriormente proferidos no ambiente virtual. Até o momento, não há data definida para a retomada do julgamento.</w:t>
      </w:r>
    </w:p>
    <w:p w14:paraId="31C2BCD3" w14:textId="77777777" w:rsidR="00785C20" w:rsidRDefault="00785C20" w:rsidP="00785C20">
      <w:pPr>
        <w:spacing w:after="0" w:line="240" w:lineRule="auto"/>
        <w:ind w:firstLine="357"/>
        <w:jc w:val="both"/>
        <w:rPr>
          <w:rFonts w:ascii="Calibri" w:hAnsi="Calibri" w:cs="Calibri"/>
          <w:sz w:val="24"/>
          <w:szCs w:val="24"/>
        </w:rPr>
      </w:pPr>
    </w:p>
    <w:p w14:paraId="7607272E" w14:textId="6B193C16" w:rsidR="007A6ADC" w:rsidRDefault="007A6ADC" w:rsidP="007A6ADC">
      <w:pPr>
        <w:pStyle w:val="PargrafodaLista"/>
        <w:numPr>
          <w:ilvl w:val="0"/>
          <w:numId w:val="3"/>
        </w:numPr>
        <w:spacing w:after="0" w:line="240" w:lineRule="auto"/>
        <w:jc w:val="both"/>
        <w:outlineLvl w:val="0"/>
        <w:rPr>
          <w:rFonts w:ascii="Calibri" w:hAnsi="Calibri" w:cs="Calibri"/>
          <w:sz w:val="24"/>
          <w:szCs w:val="24"/>
        </w:rPr>
      </w:pPr>
      <w:bookmarkStart w:id="4" w:name="_Toc226551444"/>
      <w:r>
        <w:rPr>
          <w:rFonts w:ascii="Calibri" w:hAnsi="Calibri" w:cs="Calibri"/>
          <w:b/>
          <w:bCs/>
          <w:color w:val="B08200"/>
          <w:sz w:val="28"/>
          <w:szCs w:val="28"/>
        </w:rPr>
        <w:t>STF valida</w:t>
      </w:r>
      <w:r w:rsidR="005B3686">
        <w:rPr>
          <w:rFonts w:ascii="Calibri" w:hAnsi="Calibri" w:cs="Calibri"/>
          <w:b/>
          <w:bCs/>
          <w:color w:val="B08200"/>
          <w:sz w:val="28"/>
          <w:szCs w:val="28"/>
        </w:rPr>
        <w:t xml:space="preserve"> normas</w:t>
      </w:r>
      <w:r>
        <w:rPr>
          <w:rFonts w:ascii="Calibri" w:hAnsi="Calibri" w:cs="Calibri"/>
          <w:b/>
          <w:bCs/>
          <w:color w:val="B08200"/>
          <w:sz w:val="28"/>
          <w:szCs w:val="28"/>
        </w:rPr>
        <w:t xml:space="preserve"> paulistas contra devedores contumazes de ICMS</w:t>
      </w:r>
      <w:bookmarkEnd w:id="4"/>
      <w:r>
        <w:rPr>
          <w:rFonts w:ascii="Calibri" w:hAnsi="Calibri" w:cs="Calibri"/>
          <w:b/>
          <w:bCs/>
          <w:color w:val="B08200"/>
          <w:sz w:val="28"/>
          <w:szCs w:val="28"/>
        </w:rPr>
        <w:t xml:space="preserve"> </w:t>
      </w:r>
    </w:p>
    <w:p w14:paraId="0B76F458" w14:textId="77777777" w:rsidR="007A6ADC" w:rsidRDefault="007A6ADC" w:rsidP="007A6ADC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D888558" w14:textId="661C7537" w:rsidR="007A6ADC" w:rsidRPr="001B730D" w:rsidRDefault="007A6ADC" w:rsidP="007A6ADC">
      <w:pPr>
        <w:spacing w:after="0" w:line="240" w:lineRule="auto"/>
        <w:ind w:firstLine="357"/>
        <w:jc w:val="both"/>
        <w:rPr>
          <w:rFonts w:ascii="Calibri" w:hAnsi="Calibri" w:cs="Calibri"/>
          <w:spacing w:val="-2"/>
          <w:sz w:val="24"/>
          <w:szCs w:val="24"/>
        </w:rPr>
      </w:pPr>
      <w:r w:rsidRPr="001B730D">
        <w:rPr>
          <w:rFonts w:ascii="Calibri" w:hAnsi="Calibri" w:cs="Calibri"/>
          <w:spacing w:val="-2"/>
          <w:sz w:val="24"/>
          <w:szCs w:val="24"/>
        </w:rPr>
        <w:t xml:space="preserve">O </w:t>
      </w:r>
      <w:r w:rsidR="001B730D" w:rsidRPr="001B730D">
        <w:rPr>
          <w:rFonts w:ascii="Calibri" w:hAnsi="Calibri" w:cs="Calibri"/>
          <w:spacing w:val="-2"/>
          <w:sz w:val="24"/>
          <w:szCs w:val="24"/>
        </w:rPr>
        <w:t>Plenário</w:t>
      </w:r>
      <w:r w:rsidRPr="001B730D">
        <w:rPr>
          <w:rFonts w:ascii="Calibri" w:hAnsi="Calibri" w:cs="Calibri"/>
          <w:spacing w:val="-2"/>
          <w:sz w:val="24"/>
          <w:szCs w:val="24"/>
        </w:rPr>
        <w:t xml:space="preserve"> do STF, por unanimidade de votos, </w:t>
      </w:r>
      <w:r w:rsidR="001B730D">
        <w:rPr>
          <w:rFonts w:ascii="Calibri" w:hAnsi="Calibri" w:cs="Calibri"/>
          <w:spacing w:val="-2"/>
          <w:sz w:val="24"/>
          <w:szCs w:val="24"/>
        </w:rPr>
        <w:t>reconheceu a constitucionalidade de</w:t>
      </w:r>
      <w:r w:rsidRPr="001B730D">
        <w:rPr>
          <w:rFonts w:ascii="Calibri" w:hAnsi="Calibri" w:cs="Calibri"/>
          <w:spacing w:val="-2"/>
          <w:sz w:val="24"/>
          <w:szCs w:val="24"/>
        </w:rPr>
        <w:t xml:space="preserve"> dispositivos da legislação do Estado de São Paulo </w:t>
      </w:r>
      <w:r w:rsidR="00D7607F" w:rsidRPr="004669A7">
        <w:rPr>
          <w:rFonts w:ascii="Calibri" w:hAnsi="Calibri" w:cs="Calibri"/>
          <w:spacing w:val="-2"/>
          <w:sz w:val="24"/>
          <w:szCs w:val="24"/>
        </w:rPr>
        <w:t>(Lei estadual n. 6.374/1989, Decreto estadual 45.490/2000 e Lei Complementar estadual n. 1.320/2018)</w:t>
      </w:r>
      <w:r w:rsidR="00D7607F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1B730D">
        <w:rPr>
          <w:rFonts w:ascii="Calibri" w:hAnsi="Calibri" w:cs="Calibri"/>
          <w:spacing w:val="-2"/>
          <w:sz w:val="24"/>
          <w:szCs w:val="24"/>
        </w:rPr>
        <w:t xml:space="preserve">que estabelecem medidas restritivas contra os chamados </w:t>
      </w:r>
      <w:r w:rsidR="001B730D" w:rsidRPr="001B730D">
        <w:rPr>
          <w:rFonts w:ascii="Calibri" w:hAnsi="Calibri" w:cs="Calibri"/>
          <w:spacing w:val="-2"/>
          <w:sz w:val="24"/>
          <w:szCs w:val="24"/>
        </w:rPr>
        <w:t>“</w:t>
      </w:r>
      <w:r w:rsidRPr="001B730D">
        <w:rPr>
          <w:rFonts w:ascii="Calibri" w:hAnsi="Calibri" w:cs="Calibri"/>
          <w:spacing w:val="-2"/>
          <w:sz w:val="24"/>
          <w:szCs w:val="24"/>
        </w:rPr>
        <w:t>devedores contumazes</w:t>
      </w:r>
      <w:r w:rsidR="001B730D" w:rsidRPr="001B730D">
        <w:rPr>
          <w:rFonts w:ascii="Calibri" w:hAnsi="Calibri" w:cs="Calibri"/>
          <w:spacing w:val="-2"/>
          <w:sz w:val="24"/>
          <w:szCs w:val="24"/>
        </w:rPr>
        <w:t>”</w:t>
      </w:r>
      <w:r w:rsidRPr="001B730D">
        <w:rPr>
          <w:rFonts w:ascii="Calibri" w:hAnsi="Calibri" w:cs="Calibri"/>
          <w:spacing w:val="-2"/>
          <w:sz w:val="24"/>
          <w:szCs w:val="24"/>
        </w:rPr>
        <w:t xml:space="preserve"> de </w:t>
      </w:r>
      <w:r w:rsidR="008614FF">
        <w:rPr>
          <w:rFonts w:ascii="Calibri" w:hAnsi="Calibri" w:cs="Calibri"/>
          <w:spacing w:val="-2"/>
          <w:sz w:val="24"/>
          <w:szCs w:val="24"/>
        </w:rPr>
        <w:t>I</w:t>
      </w:r>
      <w:r w:rsidRPr="001B730D">
        <w:rPr>
          <w:rFonts w:ascii="Calibri" w:hAnsi="Calibri" w:cs="Calibri"/>
          <w:spacing w:val="-2"/>
          <w:sz w:val="24"/>
          <w:szCs w:val="24"/>
        </w:rPr>
        <w:t>CMS</w:t>
      </w:r>
      <w:r w:rsidR="001B730D" w:rsidRPr="001B730D">
        <w:rPr>
          <w:rFonts w:ascii="Calibri" w:hAnsi="Calibri" w:cs="Calibri"/>
          <w:spacing w:val="-2"/>
          <w:sz w:val="24"/>
          <w:szCs w:val="24"/>
        </w:rPr>
        <w:t xml:space="preserve"> (ADI 7.513). A lei em questão qualifica como devedores contumazes os</w:t>
      </w:r>
      <w:r w:rsidRPr="001B730D">
        <w:rPr>
          <w:rFonts w:ascii="Calibri" w:hAnsi="Calibri" w:cs="Calibri"/>
          <w:spacing w:val="-2"/>
          <w:sz w:val="24"/>
          <w:szCs w:val="24"/>
        </w:rPr>
        <w:t xml:space="preserve"> contribuintes que possuam:</w:t>
      </w:r>
    </w:p>
    <w:p w14:paraId="297075B5" w14:textId="77777777" w:rsidR="007A6ADC" w:rsidRDefault="007A6ADC" w:rsidP="007A6ADC">
      <w:pPr>
        <w:spacing w:after="0" w:line="240" w:lineRule="auto"/>
        <w:ind w:firstLine="357"/>
        <w:jc w:val="both"/>
        <w:rPr>
          <w:rFonts w:ascii="Calibri" w:hAnsi="Calibri" w:cs="Calibri"/>
          <w:sz w:val="24"/>
          <w:szCs w:val="24"/>
        </w:rPr>
      </w:pPr>
    </w:p>
    <w:p w14:paraId="5A607A97" w14:textId="77777777" w:rsidR="007A6ADC" w:rsidRDefault="007A6ADC" w:rsidP="007A6ADC">
      <w:pPr>
        <w:spacing w:after="0" w:line="240" w:lineRule="auto"/>
        <w:ind w:left="357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Hipótese 1</w:t>
      </w:r>
      <w:r>
        <w:rPr>
          <w:rFonts w:ascii="Calibri" w:hAnsi="Calibri" w:cs="Calibri"/>
          <w:sz w:val="24"/>
          <w:szCs w:val="24"/>
        </w:rPr>
        <w:t xml:space="preserve">: débito de ICMS declarado e não pago, inscrito ou não em dívida ativa, relativamente a 6 períodos de apuração, consecutivos ou não, nos 12 meses anteriores; ou </w:t>
      </w:r>
    </w:p>
    <w:p w14:paraId="424BEAE4" w14:textId="77777777" w:rsidR="007A6ADC" w:rsidRDefault="007A6ADC" w:rsidP="007A6ADC">
      <w:pPr>
        <w:spacing w:after="0" w:line="240" w:lineRule="auto"/>
        <w:ind w:firstLine="357"/>
        <w:jc w:val="both"/>
        <w:rPr>
          <w:rFonts w:ascii="Calibri" w:hAnsi="Calibri" w:cs="Calibri"/>
          <w:sz w:val="24"/>
          <w:szCs w:val="24"/>
        </w:rPr>
      </w:pPr>
    </w:p>
    <w:p w14:paraId="757F0637" w14:textId="77777777" w:rsidR="007A6ADC" w:rsidRDefault="007A6ADC" w:rsidP="007A6ADC">
      <w:pPr>
        <w:spacing w:after="0" w:line="240" w:lineRule="auto"/>
        <w:ind w:left="357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Hipótese 2</w:t>
      </w:r>
      <w:r>
        <w:rPr>
          <w:rFonts w:ascii="Calibri" w:hAnsi="Calibri" w:cs="Calibri"/>
          <w:sz w:val="24"/>
          <w:szCs w:val="24"/>
        </w:rPr>
        <w:t>: débitos de ICMS inscritos em dívida ativa, que totalizem valor superior a 40.000 Unidades Fiscais do Estado de São Paulo - UFESPs e correspondam a mais de 30% de seu patrimônio líquido, ou a mais de 25% do valor total das operações de saídas e prestações de serviços realizadas nos 12 (doze) meses anteriores.</w:t>
      </w:r>
    </w:p>
    <w:p w14:paraId="251E6092" w14:textId="77777777" w:rsidR="007A6ADC" w:rsidRDefault="007A6ADC" w:rsidP="007A6ADC">
      <w:pPr>
        <w:spacing w:after="0" w:line="240" w:lineRule="auto"/>
        <w:ind w:firstLine="357"/>
        <w:jc w:val="both"/>
        <w:rPr>
          <w:rFonts w:ascii="Calibri" w:hAnsi="Calibri" w:cs="Calibri"/>
          <w:sz w:val="24"/>
          <w:szCs w:val="24"/>
        </w:rPr>
      </w:pPr>
    </w:p>
    <w:p w14:paraId="196B8CCB" w14:textId="4534D093" w:rsidR="007A6ADC" w:rsidRDefault="001B730D" w:rsidP="007A6ADC">
      <w:pPr>
        <w:spacing w:after="0" w:line="240" w:lineRule="auto"/>
        <w:ind w:firstLine="357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 w:rsidR="007A6ADC">
        <w:rPr>
          <w:rFonts w:ascii="Calibri" w:hAnsi="Calibri" w:cs="Calibri"/>
          <w:sz w:val="24"/>
          <w:szCs w:val="24"/>
        </w:rPr>
        <w:t xml:space="preserve"> referida legislação prevê</w:t>
      </w:r>
      <w:r w:rsidR="007514A4">
        <w:rPr>
          <w:rFonts w:ascii="Calibri" w:hAnsi="Calibri" w:cs="Calibri"/>
          <w:sz w:val="24"/>
          <w:szCs w:val="24"/>
        </w:rPr>
        <w:t>,</w:t>
      </w:r>
      <w:r w:rsidR="007A6ADC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ainda</w:t>
      </w:r>
      <w:r w:rsidR="007514A4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</w:t>
      </w:r>
      <w:r w:rsidR="007A6ADC">
        <w:rPr>
          <w:rFonts w:ascii="Calibri" w:hAnsi="Calibri" w:cs="Calibri"/>
          <w:sz w:val="24"/>
          <w:szCs w:val="24"/>
        </w:rPr>
        <w:t>regime especial</w:t>
      </w:r>
      <w:r w:rsidR="008614FF">
        <w:rPr>
          <w:rFonts w:ascii="Calibri" w:hAnsi="Calibri" w:cs="Calibri"/>
          <w:sz w:val="24"/>
          <w:szCs w:val="24"/>
        </w:rPr>
        <w:t xml:space="preserve"> aos devedores contumazes</w:t>
      </w:r>
      <w:r w:rsidR="007A6ADC">
        <w:rPr>
          <w:rFonts w:ascii="Calibri" w:hAnsi="Calibri" w:cs="Calibri"/>
          <w:sz w:val="24"/>
          <w:szCs w:val="24"/>
        </w:rPr>
        <w:t xml:space="preserve"> para o cumprimento das obrigações fiscais, que poderá consistir em diversas medidas, como a obrigatoriedade de fornecer informação periódica referente à operação ou prestação que realizar, bem como a presença permanente de fiscal de rendas no estabelecimento fiscalizado.</w:t>
      </w:r>
    </w:p>
    <w:p w14:paraId="4E0513B9" w14:textId="77777777" w:rsidR="007A6ADC" w:rsidRDefault="007A6ADC" w:rsidP="007A6ADC">
      <w:pPr>
        <w:spacing w:after="0" w:line="240" w:lineRule="auto"/>
        <w:ind w:firstLine="357"/>
        <w:jc w:val="both"/>
        <w:rPr>
          <w:rFonts w:ascii="Calibri" w:hAnsi="Calibri" w:cs="Calibri"/>
          <w:sz w:val="24"/>
          <w:szCs w:val="24"/>
        </w:rPr>
      </w:pPr>
    </w:p>
    <w:p w14:paraId="33D28117" w14:textId="09C24882" w:rsidR="007A6ADC" w:rsidRDefault="007A6ADC" w:rsidP="007A6ADC">
      <w:pPr>
        <w:spacing w:after="0" w:line="240" w:lineRule="auto"/>
        <w:ind w:firstLine="357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De acordo com o Partido Solidariedade, parte autora </w:t>
      </w:r>
      <w:r w:rsidR="001B730D">
        <w:rPr>
          <w:rFonts w:ascii="Calibri" w:hAnsi="Calibri" w:cs="Calibri"/>
          <w:sz w:val="24"/>
          <w:szCs w:val="24"/>
        </w:rPr>
        <w:t>da ação que buscava reconhecer a inconstitucionalidade da referida lei</w:t>
      </w:r>
      <w:r>
        <w:rPr>
          <w:rFonts w:ascii="Calibri" w:hAnsi="Calibri" w:cs="Calibri"/>
          <w:sz w:val="24"/>
          <w:szCs w:val="24"/>
        </w:rPr>
        <w:t xml:space="preserve">, as disposições correspondem, na realidade, a medidas coercitivas para que o contribuinte pague seus débitos. Além disso, </w:t>
      </w:r>
      <w:r w:rsidR="007514A4">
        <w:rPr>
          <w:rFonts w:ascii="Calibri" w:hAnsi="Calibri" w:cs="Calibri"/>
          <w:sz w:val="24"/>
          <w:szCs w:val="24"/>
        </w:rPr>
        <w:t xml:space="preserve">ressaltou </w:t>
      </w:r>
      <w:r>
        <w:rPr>
          <w:rFonts w:ascii="Calibri" w:hAnsi="Calibri" w:cs="Calibri"/>
          <w:sz w:val="24"/>
          <w:szCs w:val="24"/>
        </w:rPr>
        <w:t>que a inconstitucionalidade das sanções políticas tributárias já foi consolidada pelo STF.</w:t>
      </w:r>
    </w:p>
    <w:p w14:paraId="2DAF23E0" w14:textId="77777777" w:rsidR="007A6ADC" w:rsidRDefault="007A6ADC" w:rsidP="007A6ADC">
      <w:pPr>
        <w:spacing w:after="0" w:line="240" w:lineRule="auto"/>
        <w:ind w:firstLine="357"/>
        <w:jc w:val="both"/>
        <w:rPr>
          <w:rFonts w:ascii="Calibri" w:hAnsi="Calibri" w:cs="Calibri"/>
          <w:sz w:val="24"/>
          <w:szCs w:val="24"/>
        </w:rPr>
      </w:pPr>
    </w:p>
    <w:p w14:paraId="33001E05" w14:textId="64E129DB" w:rsidR="007A6ADC" w:rsidRDefault="007A6ADC" w:rsidP="007A6ADC">
      <w:pPr>
        <w:spacing w:after="0" w:line="240" w:lineRule="auto"/>
        <w:ind w:firstLine="357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No entanto, os Ministros, por unanimidade de votos, validaram os dispositivos impugnados, sob a justificativa principal de que tais medidas não </w:t>
      </w:r>
      <w:proofErr w:type="spellStart"/>
      <w:r>
        <w:rPr>
          <w:rFonts w:ascii="Calibri" w:hAnsi="Calibri" w:cs="Calibri"/>
          <w:sz w:val="24"/>
          <w:szCs w:val="24"/>
        </w:rPr>
        <w:t>configuramsanção</w:t>
      </w:r>
      <w:proofErr w:type="spellEnd"/>
      <w:r>
        <w:rPr>
          <w:rFonts w:ascii="Calibri" w:hAnsi="Calibri" w:cs="Calibri"/>
          <w:sz w:val="24"/>
          <w:szCs w:val="24"/>
        </w:rPr>
        <w:t xml:space="preserve"> política. Conforme consignado pelo Min. Rel. Cristiano Zanin, “</w:t>
      </w:r>
      <w:r>
        <w:rPr>
          <w:rFonts w:ascii="Calibri" w:hAnsi="Calibri" w:cs="Calibri"/>
          <w:i/>
          <w:iCs/>
          <w:sz w:val="24"/>
          <w:szCs w:val="24"/>
        </w:rPr>
        <w:t>a atuação do Estado com o intuito de coibir práticas empresariais orientadas à inadimplência contumaz é amparada pelos princípios da livre concorrência (art. 170, IV), da capacidade contributiva (art. 145, § 1º) e da isonomia (art. 5º, caput e 150, II), não se revestindo, per se, do caráter coercitivo indevido que caracteriza a sanção política</w:t>
      </w:r>
      <w:r>
        <w:rPr>
          <w:rFonts w:ascii="Calibri" w:hAnsi="Calibri" w:cs="Calibri"/>
          <w:sz w:val="24"/>
          <w:szCs w:val="24"/>
        </w:rPr>
        <w:t xml:space="preserve">”. </w:t>
      </w:r>
    </w:p>
    <w:p w14:paraId="74C6FF80" w14:textId="77777777" w:rsidR="001B730D" w:rsidRDefault="001B730D" w:rsidP="007A6ADC">
      <w:pPr>
        <w:spacing w:after="0" w:line="240" w:lineRule="auto"/>
        <w:ind w:firstLine="357"/>
        <w:jc w:val="both"/>
        <w:rPr>
          <w:rFonts w:ascii="Calibri" w:hAnsi="Calibri" w:cs="Calibri"/>
          <w:sz w:val="24"/>
          <w:szCs w:val="24"/>
        </w:rPr>
      </w:pPr>
    </w:p>
    <w:p w14:paraId="05759040" w14:textId="77777777" w:rsidR="001B730D" w:rsidRDefault="001B730D" w:rsidP="007A6ADC">
      <w:pPr>
        <w:spacing w:after="0" w:line="240" w:lineRule="auto"/>
        <w:ind w:firstLine="357"/>
        <w:jc w:val="both"/>
        <w:rPr>
          <w:rFonts w:ascii="Calibri" w:hAnsi="Calibri" w:cs="Calibri"/>
          <w:sz w:val="24"/>
          <w:szCs w:val="24"/>
        </w:rPr>
      </w:pPr>
    </w:p>
    <w:p w14:paraId="1FCB27BE" w14:textId="77777777" w:rsidR="001B730D" w:rsidRDefault="001B730D" w:rsidP="007A6ADC">
      <w:pPr>
        <w:spacing w:after="0" w:line="240" w:lineRule="auto"/>
        <w:ind w:firstLine="357"/>
        <w:jc w:val="both"/>
        <w:rPr>
          <w:rFonts w:ascii="Calibri" w:hAnsi="Calibri" w:cs="Calibri"/>
          <w:sz w:val="24"/>
          <w:szCs w:val="24"/>
        </w:rPr>
      </w:pPr>
    </w:p>
    <w:p w14:paraId="775AB256" w14:textId="4D58BE26" w:rsidR="007A6ADC" w:rsidRPr="007A6ADC" w:rsidRDefault="009F5795" w:rsidP="007A6ADC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outlineLvl w:val="0"/>
        <w:rPr>
          <w:rFonts w:ascii="Calibri" w:eastAsia="Calibri" w:hAnsi="Calibri" w:cs="Calibri"/>
          <w:sz w:val="24"/>
          <w:szCs w:val="24"/>
        </w:rPr>
      </w:pPr>
      <w:bookmarkStart w:id="5" w:name="_Toc226551445"/>
      <w:r>
        <w:rPr>
          <w:rFonts w:ascii="Calibri" w:eastAsia="Calibri" w:hAnsi="Calibri" w:cs="Calibri"/>
          <w:b/>
          <w:bCs/>
          <w:color w:val="B08200"/>
          <w:sz w:val="28"/>
          <w:szCs w:val="28"/>
        </w:rPr>
        <w:lastRenderedPageBreak/>
        <w:t xml:space="preserve">Contribuição Previdenciária Patronal sobre </w:t>
      </w:r>
      <w:r w:rsidR="007A6ADC" w:rsidRPr="007A6ADC">
        <w:rPr>
          <w:rFonts w:ascii="Calibri" w:eastAsia="Calibri" w:hAnsi="Calibri" w:cs="Calibri"/>
          <w:b/>
          <w:bCs/>
          <w:color w:val="B08200"/>
          <w:sz w:val="28"/>
          <w:szCs w:val="28"/>
        </w:rPr>
        <w:t>o 13º</w:t>
      </w:r>
      <w:r>
        <w:rPr>
          <w:rFonts w:ascii="Calibri" w:eastAsia="Calibri" w:hAnsi="Calibri" w:cs="Calibri"/>
          <w:b/>
          <w:bCs/>
          <w:color w:val="B08200"/>
          <w:sz w:val="28"/>
          <w:szCs w:val="28"/>
        </w:rPr>
        <w:t xml:space="preserve"> salário</w:t>
      </w:r>
      <w:r w:rsidR="007A6ADC" w:rsidRPr="007A6ADC">
        <w:rPr>
          <w:rFonts w:ascii="Calibri" w:eastAsia="Calibri" w:hAnsi="Calibri" w:cs="Calibri"/>
          <w:b/>
          <w:bCs/>
          <w:color w:val="B08200"/>
          <w:sz w:val="28"/>
          <w:szCs w:val="28"/>
        </w:rPr>
        <w:t xml:space="preserve"> proporcional ao aviso prévio será julgada em repercussão geral</w:t>
      </w:r>
      <w:bookmarkEnd w:id="5"/>
    </w:p>
    <w:p w14:paraId="6D789070" w14:textId="77777777" w:rsidR="007A6ADC" w:rsidRPr="007A6ADC" w:rsidRDefault="007A6ADC" w:rsidP="007A6ADC">
      <w:pPr>
        <w:spacing w:after="0" w:line="240" w:lineRule="auto"/>
        <w:ind w:left="357"/>
        <w:contextualSpacing/>
        <w:jc w:val="both"/>
        <w:outlineLvl w:val="0"/>
        <w:rPr>
          <w:rFonts w:ascii="Calibri" w:eastAsia="Calibri" w:hAnsi="Calibri" w:cs="Calibri"/>
          <w:sz w:val="24"/>
          <w:szCs w:val="24"/>
        </w:rPr>
      </w:pPr>
    </w:p>
    <w:p w14:paraId="743AB527" w14:textId="77777777" w:rsidR="00583442" w:rsidRDefault="007A6ADC" w:rsidP="000E7D33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  <w:r w:rsidRPr="007A6ADC">
        <w:rPr>
          <w:rFonts w:ascii="Calibri" w:eastAsia="Calibri" w:hAnsi="Calibri" w:cs="Calibri"/>
          <w:sz w:val="24"/>
          <w:szCs w:val="24"/>
        </w:rPr>
        <w:t xml:space="preserve">Em 24.02.2026, o Plenário do STF, </w:t>
      </w:r>
      <w:r w:rsidRPr="00E64EED">
        <w:rPr>
          <w:rFonts w:ascii="Calibri" w:eastAsia="Calibri" w:hAnsi="Calibri" w:cs="Calibri"/>
          <w:sz w:val="24"/>
          <w:szCs w:val="24"/>
        </w:rPr>
        <w:t>em julgamento virtual, reconheceu por maioria de votos a repercussão geral da</w:t>
      </w:r>
      <w:r w:rsidR="00E64EED" w:rsidRPr="00E64EED">
        <w:rPr>
          <w:rFonts w:ascii="Calibri" w:eastAsia="Calibri" w:hAnsi="Calibri" w:cs="Calibri"/>
          <w:sz w:val="24"/>
          <w:szCs w:val="24"/>
        </w:rPr>
        <w:t xml:space="preserve"> discussão relativa à</w:t>
      </w:r>
      <w:r w:rsidRPr="00E64EED">
        <w:rPr>
          <w:rFonts w:ascii="Calibri" w:eastAsia="Calibri" w:hAnsi="Calibri" w:cs="Calibri"/>
          <w:sz w:val="24"/>
          <w:szCs w:val="24"/>
        </w:rPr>
        <w:t xml:space="preserve"> </w:t>
      </w:r>
      <w:r w:rsidRPr="00E64EED">
        <w:rPr>
          <w:rFonts w:ascii="Calibri" w:eastAsia="Calibri" w:hAnsi="Calibri" w:cs="Calibri"/>
          <w:i/>
          <w:iCs/>
          <w:sz w:val="24"/>
          <w:szCs w:val="24"/>
        </w:rPr>
        <w:t>“incidência de contribuição previdenciária patronal sobre os valores pagos ao empregado a título de décimo terceiro salário proporcional ao aviso prévio indenizado”</w:t>
      </w:r>
      <w:r w:rsidRPr="00E64EED">
        <w:rPr>
          <w:rFonts w:ascii="Calibri" w:eastAsia="Calibri" w:hAnsi="Calibri" w:cs="Calibri"/>
          <w:sz w:val="24"/>
          <w:szCs w:val="24"/>
        </w:rPr>
        <w:t xml:space="preserve"> (Tema 1445). </w:t>
      </w:r>
    </w:p>
    <w:p w14:paraId="7DCC0D84" w14:textId="77777777" w:rsidR="00583442" w:rsidRDefault="00583442" w:rsidP="000E7D33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</w:p>
    <w:p w14:paraId="454A1AFD" w14:textId="4EAA7EB7" w:rsidR="007A6ADC" w:rsidRPr="009F5795" w:rsidRDefault="007A6ADC" w:rsidP="000E7D33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  <w:highlight w:val="yellow"/>
        </w:rPr>
      </w:pPr>
      <w:r w:rsidRPr="00E64EED">
        <w:rPr>
          <w:rFonts w:ascii="Calibri" w:eastAsia="Calibri" w:hAnsi="Calibri" w:cs="Calibri"/>
          <w:sz w:val="24"/>
          <w:szCs w:val="24"/>
        </w:rPr>
        <w:t xml:space="preserve">O recurso extraordinário escolhido como representativo da controvérsia foi interposto em face de acórdão do STJ no julgamento do Tema 1170, que entendeu incidir a contribuição previdenciária sobre os valores pagos à título de décimo terceiro proporcional ao aviso prévio indenizado, </w:t>
      </w:r>
      <w:r w:rsidRPr="00E64EED">
        <w:rPr>
          <w:rFonts w:ascii="Calibri" w:eastAsia="Calibri" w:hAnsi="Calibri" w:cs="Calibri"/>
          <w:i/>
          <w:iCs/>
          <w:sz w:val="24"/>
          <w:szCs w:val="24"/>
        </w:rPr>
        <w:t>“incidência essa que decorre da natureza remuneratória da verba em apreço”</w:t>
      </w:r>
      <w:r w:rsidRPr="00E64EED">
        <w:rPr>
          <w:rFonts w:ascii="Calibri" w:eastAsia="Calibri" w:hAnsi="Calibri" w:cs="Calibri"/>
          <w:sz w:val="24"/>
          <w:szCs w:val="24"/>
        </w:rPr>
        <w:t xml:space="preserve">. </w:t>
      </w:r>
    </w:p>
    <w:p w14:paraId="46FA30F4" w14:textId="77777777" w:rsidR="007A6ADC" w:rsidRPr="009F5795" w:rsidRDefault="007A6ADC" w:rsidP="000E7D33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  <w:highlight w:val="yellow"/>
        </w:rPr>
      </w:pPr>
    </w:p>
    <w:p w14:paraId="0734E0B4" w14:textId="3200BC34" w:rsidR="007A6ADC" w:rsidRPr="007A6ADC" w:rsidRDefault="007A6ADC" w:rsidP="000E7D33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  <w:r w:rsidRPr="00E64EED">
        <w:rPr>
          <w:rFonts w:ascii="Calibri" w:eastAsia="Calibri" w:hAnsi="Calibri" w:cs="Calibri"/>
          <w:sz w:val="24"/>
          <w:szCs w:val="24"/>
        </w:rPr>
        <w:t>Para o recorrente, o acórdão do STJ violou os precedentes fixados nos Tema</w:t>
      </w:r>
      <w:r w:rsidR="007514A4">
        <w:rPr>
          <w:rFonts w:ascii="Calibri" w:eastAsia="Calibri" w:hAnsi="Calibri" w:cs="Calibri"/>
          <w:sz w:val="24"/>
          <w:szCs w:val="24"/>
        </w:rPr>
        <w:t>s</w:t>
      </w:r>
      <w:r w:rsidRPr="00E64EED">
        <w:rPr>
          <w:rFonts w:ascii="Calibri" w:eastAsia="Calibri" w:hAnsi="Calibri" w:cs="Calibri"/>
          <w:sz w:val="24"/>
          <w:szCs w:val="24"/>
        </w:rPr>
        <w:t xml:space="preserve"> 20 – </w:t>
      </w:r>
      <w:r w:rsidRPr="00E64EED">
        <w:rPr>
          <w:rFonts w:ascii="Calibri" w:eastAsia="Calibri" w:hAnsi="Calibri" w:cs="Calibri"/>
          <w:i/>
          <w:iCs/>
          <w:sz w:val="24"/>
          <w:szCs w:val="24"/>
        </w:rPr>
        <w:t>“a contribuição social a cargo do empregador incide sobre ganhos habituais do empregado, quer anteriores ou posteriores à Emenda Constitucional nº 20/1998”</w:t>
      </w:r>
      <w:r w:rsidRPr="00E64EED">
        <w:rPr>
          <w:rFonts w:ascii="Calibri" w:eastAsia="Calibri" w:hAnsi="Calibri" w:cs="Calibri"/>
          <w:sz w:val="24"/>
          <w:szCs w:val="24"/>
        </w:rPr>
        <w:t xml:space="preserve"> – e 72 – </w:t>
      </w:r>
      <w:r w:rsidRPr="00E64EED">
        <w:rPr>
          <w:rFonts w:ascii="Calibri" w:eastAsia="Calibri" w:hAnsi="Calibri" w:cs="Calibri"/>
          <w:i/>
          <w:iCs/>
          <w:sz w:val="24"/>
          <w:szCs w:val="24"/>
        </w:rPr>
        <w:t xml:space="preserve">“é inconstitucional a incidência da contribuição previdenciária a cargo do empregador sobre o salário maternidade” </w:t>
      </w:r>
      <w:r w:rsidRPr="00E64EED">
        <w:rPr>
          <w:rFonts w:ascii="Calibri" w:eastAsia="Calibri" w:hAnsi="Calibri" w:cs="Calibri"/>
          <w:sz w:val="24"/>
          <w:szCs w:val="24"/>
        </w:rPr>
        <w:t xml:space="preserve">–, ambos do STF. </w:t>
      </w:r>
      <w:r w:rsidR="00E64EED">
        <w:rPr>
          <w:rFonts w:ascii="Calibri" w:eastAsia="Calibri" w:hAnsi="Calibri" w:cs="Calibri"/>
          <w:sz w:val="24"/>
          <w:szCs w:val="24"/>
        </w:rPr>
        <w:t>Para o recorrente,</w:t>
      </w:r>
      <w:r w:rsidRPr="00E64EED">
        <w:rPr>
          <w:rFonts w:ascii="Calibri" w:eastAsia="Calibri" w:hAnsi="Calibri" w:cs="Calibri"/>
          <w:sz w:val="24"/>
          <w:szCs w:val="24"/>
        </w:rPr>
        <w:t xml:space="preserve"> a verba </w:t>
      </w:r>
      <w:r w:rsidR="00E64EED">
        <w:rPr>
          <w:rFonts w:ascii="Calibri" w:eastAsia="Calibri" w:hAnsi="Calibri" w:cs="Calibri"/>
          <w:sz w:val="24"/>
          <w:szCs w:val="24"/>
        </w:rPr>
        <w:t>em questão</w:t>
      </w:r>
      <w:r w:rsidRPr="00E64EED">
        <w:rPr>
          <w:rFonts w:ascii="Calibri" w:eastAsia="Calibri" w:hAnsi="Calibri" w:cs="Calibri"/>
          <w:sz w:val="24"/>
          <w:szCs w:val="24"/>
        </w:rPr>
        <w:t xml:space="preserve"> deveria seguir o principal – o aviso prévio indenizado – que tem natureza indenizatória (Tema 478 do STJ).</w:t>
      </w:r>
    </w:p>
    <w:p w14:paraId="2E0498D5" w14:textId="77777777" w:rsidR="007A6ADC" w:rsidRPr="007A6ADC" w:rsidRDefault="007A6ADC" w:rsidP="000E7D33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</w:p>
    <w:p w14:paraId="0167FDBF" w14:textId="1D3C773F" w:rsidR="007A6ADC" w:rsidRPr="007A6ADC" w:rsidRDefault="007A6ADC" w:rsidP="000E7D33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  <w:r w:rsidRPr="007A6ADC">
        <w:rPr>
          <w:rFonts w:ascii="Calibri" w:eastAsia="Calibri" w:hAnsi="Calibri" w:cs="Calibri"/>
          <w:sz w:val="24"/>
          <w:szCs w:val="24"/>
        </w:rPr>
        <w:t xml:space="preserve">Ainda não há previsão de inclusão em pauta para </w:t>
      </w:r>
      <w:r w:rsidR="00C34E89">
        <w:rPr>
          <w:rFonts w:ascii="Calibri" w:eastAsia="Calibri" w:hAnsi="Calibri" w:cs="Calibri"/>
          <w:sz w:val="24"/>
          <w:szCs w:val="24"/>
        </w:rPr>
        <w:t xml:space="preserve">julgamento </w:t>
      </w:r>
      <w:r w:rsidRPr="007A6ADC">
        <w:rPr>
          <w:rFonts w:ascii="Calibri" w:eastAsia="Calibri" w:hAnsi="Calibri" w:cs="Calibri"/>
          <w:sz w:val="24"/>
          <w:szCs w:val="24"/>
        </w:rPr>
        <w:t>do mérito da controvérsia.</w:t>
      </w:r>
    </w:p>
    <w:p w14:paraId="3C85628C" w14:textId="77777777" w:rsidR="009F5795" w:rsidRDefault="009F5795" w:rsidP="007A6ADC">
      <w:pPr>
        <w:spacing w:after="0" w:line="240" w:lineRule="auto"/>
        <w:jc w:val="both"/>
        <w:outlineLvl w:val="0"/>
        <w:rPr>
          <w:rFonts w:ascii="Calibri" w:hAnsi="Calibri" w:cs="Calibri"/>
          <w:sz w:val="24"/>
          <w:szCs w:val="24"/>
        </w:rPr>
      </w:pPr>
      <w:bookmarkStart w:id="6" w:name="_Toc207965459"/>
    </w:p>
    <w:p w14:paraId="1C4BF063" w14:textId="77777777" w:rsidR="007A6ADC" w:rsidRPr="007A6ADC" w:rsidRDefault="007A6ADC" w:rsidP="007A6ADC">
      <w:pPr>
        <w:spacing w:after="0" w:line="240" w:lineRule="auto"/>
        <w:jc w:val="both"/>
        <w:outlineLvl w:val="0"/>
        <w:rPr>
          <w:rFonts w:ascii="Calibri" w:eastAsia="Calibri" w:hAnsi="Calibri" w:cs="Calibri"/>
          <w:b/>
          <w:bCs/>
          <w:color w:val="B08200"/>
          <w:sz w:val="28"/>
          <w:szCs w:val="28"/>
        </w:rPr>
      </w:pPr>
    </w:p>
    <w:p w14:paraId="6D632474" w14:textId="77777777" w:rsidR="007A6ADC" w:rsidRPr="00F44770" w:rsidRDefault="007A6ADC" w:rsidP="007A6ADC">
      <w:pPr>
        <w:numPr>
          <w:ilvl w:val="0"/>
          <w:numId w:val="3"/>
        </w:num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bCs/>
          <w:color w:val="B08200"/>
          <w:sz w:val="28"/>
          <w:szCs w:val="28"/>
        </w:rPr>
      </w:pPr>
      <w:bookmarkStart w:id="7" w:name="_Toc226551446"/>
      <w:bookmarkEnd w:id="6"/>
      <w:r w:rsidRPr="00F44770">
        <w:rPr>
          <w:rFonts w:ascii="Calibri" w:eastAsia="Calibri" w:hAnsi="Calibri" w:cs="Calibri"/>
          <w:b/>
          <w:bCs/>
          <w:color w:val="B08200"/>
          <w:sz w:val="28"/>
          <w:szCs w:val="28"/>
        </w:rPr>
        <w:t>STF suspende julgamento com repercussão geral sobre manutenção de créditos de ICMS em operações interestaduais com combustíveis</w:t>
      </w:r>
      <w:bookmarkEnd w:id="7"/>
    </w:p>
    <w:p w14:paraId="0F7A6962" w14:textId="77777777" w:rsidR="007A6ADC" w:rsidRPr="00F44770" w:rsidRDefault="007A6ADC" w:rsidP="007A6ADC">
      <w:pPr>
        <w:spacing w:line="256" w:lineRule="auto"/>
        <w:rPr>
          <w:rFonts w:ascii="Calibri" w:eastAsia="Calibri" w:hAnsi="Calibri" w:cs="Arial"/>
        </w:rPr>
      </w:pPr>
    </w:p>
    <w:p w14:paraId="66299629" w14:textId="53D99ABD" w:rsidR="007A6ADC" w:rsidRPr="00F44770" w:rsidRDefault="007A6ADC" w:rsidP="007A6ADC">
      <w:pPr>
        <w:spacing w:line="256" w:lineRule="auto"/>
        <w:ind w:firstLine="709"/>
        <w:jc w:val="both"/>
        <w:rPr>
          <w:rFonts w:ascii="Calibri" w:eastAsia="Calibri" w:hAnsi="Calibri" w:cs="Arial"/>
          <w:sz w:val="24"/>
          <w:szCs w:val="24"/>
        </w:rPr>
      </w:pPr>
      <w:r w:rsidRPr="00F44770">
        <w:rPr>
          <w:rFonts w:ascii="Calibri" w:eastAsia="Calibri" w:hAnsi="Calibri" w:cs="Arial"/>
          <w:sz w:val="24"/>
          <w:szCs w:val="24"/>
        </w:rPr>
        <w:t xml:space="preserve">Em 27.03.2026, o STF iniciou, em Plenário Virtual, o julgamento do RE </w:t>
      </w:r>
      <w:r w:rsidR="00892C77" w:rsidRPr="00F44770">
        <w:rPr>
          <w:rFonts w:ascii="Calibri" w:eastAsia="Calibri" w:hAnsi="Calibri" w:cs="Arial"/>
          <w:sz w:val="24"/>
          <w:szCs w:val="24"/>
        </w:rPr>
        <w:t xml:space="preserve">RG </w:t>
      </w:r>
      <w:r w:rsidRPr="00F44770">
        <w:rPr>
          <w:rFonts w:ascii="Calibri" w:eastAsia="Calibri" w:hAnsi="Calibri" w:cs="Arial"/>
          <w:sz w:val="24"/>
          <w:szCs w:val="24"/>
        </w:rPr>
        <w:t>1</w:t>
      </w:r>
      <w:r w:rsidR="00892C77" w:rsidRPr="00F44770">
        <w:rPr>
          <w:rFonts w:ascii="Calibri" w:eastAsia="Calibri" w:hAnsi="Calibri" w:cs="Arial"/>
          <w:sz w:val="24"/>
          <w:szCs w:val="24"/>
        </w:rPr>
        <w:t>.</w:t>
      </w:r>
      <w:r w:rsidRPr="00F44770">
        <w:rPr>
          <w:rFonts w:ascii="Calibri" w:eastAsia="Calibri" w:hAnsi="Calibri" w:cs="Arial"/>
          <w:sz w:val="24"/>
          <w:szCs w:val="24"/>
        </w:rPr>
        <w:t>362</w:t>
      </w:r>
      <w:r w:rsidR="00892C77" w:rsidRPr="00F44770">
        <w:rPr>
          <w:rFonts w:ascii="Calibri" w:eastAsia="Calibri" w:hAnsi="Calibri" w:cs="Arial"/>
          <w:sz w:val="24"/>
          <w:szCs w:val="24"/>
        </w:rPr>
        <w:t>.</w:t>
      </w:r>
      <w:r w:rsidRPr="00F44770">
        <w:rPr>
          <w:rFonts w:ascii="Calibri" w:eastAsia="Calibri" w:hAnsi="Calibri" w:cs="Arial"/>
          <w:sz w:val="24"/>
          <w:szCs w:val="24"/>
        </w:rPr>
        <w:t xml:space="preserve">742 (Tema 1258), que discute a possibilidade de manutenção dos créditos de ICMS relativos às operações internas </w:t>
      </w:r>
      <w:r w:rsidR="005E3623" w:rsidRPr="00F44770">
        <w:rPr>
          <w:rFonts w:ascii="Calibri" w:eastAsia="Calibri" w:hAnsi="Calibri" w:cs="Arial"/>
          <w:sz w:val="24"/>
          <w:szCs w:val="24"/>
        </w:rPr>
        <w:t xml:space="preserve">realizadas anteriormente </w:t>
      </w:r>
      <w:r w:rsidRPr="00F44770">
        <w:rPr>
          <w:rFonts w:ascii="Calibri" w:eastAsia="Calibri" w:hAnsi="Calibri" w:cs="Arial"/>
          <w:sz w:val="24"/>
          <w:szCs w:val="24"/>
        </w:rPr>
        <w:t xml:space="preserve">às saídas interestaduais </w:t>
      </w:r>
      <w:r w:rsidR="00F44770" w:rsidRPr="00F44770">
        <w:rPr>
          <w:rFonts w:ascii="Calibri" w:eastAsia="Calibri" w:hAnsi="Calibri" w:cs="Arial"/>
          <w:sz w:val="24"/>
          <w:szCs w:val="24"/>
        </w:rPr>
        <w:t xml:space="preserve">imunes </w:t>
      </w:r>
      <w:r w:rsidRPr="00F44770">
        <w:rPr>
          <w:rFonts w:ascii="Calibri" w:eastAsia="Calibri" w:hAnsi="Calibri" w:cs="Arial"/>
          <w:sz w:val="24"/>
          <w:szCs w:val="24"/>
        </w:rPr>
        <w:t>de combustíveis derivados de petróleo. Na mesma data, o julgamento foi suspenso por pedido de vista do Min. Cristiano Zanin.</w:t>
      </w:r>
    </w:p>
    <w:p w14:paraId="78C41F2F" w14:textId="77777777" w:rsidR="00F44770" w:rsidRPr="00F44770" w:rsidRDefault="005E3623" w:rsidP="007A6ADC">
      <w:pPr>
        <w:spacing w:line="256" w:lineRule="auto"/>
        <w:ind w:firstLine="709"/>
        <w:jc w:val="both"/>
        <w:rPr>
          <w:rFonts w:ascii="Calibri" w:eastAsia="Calibri" w:hAnsi="Calibri" w:cs="Arial"/>
          <w:sz w:val="24"/>
          <w:szCs w:val="24"/>
        </w:rPr>
      </w:pPr>
      <w:r w:rsidRPr="00F44770">
        <w:rPr>
          <w:rFonts w:ascii="Calibri" w:eastAsia="Calibri" w:hAnsi="Calibri" w:cs="Arial"/>
          <w:sz w:val="24"/>
          <w:szCs w:val="24"/>
        </w:rPr>
        <w:t xml:space="preserve">A Constituição Federal confere imunidade do ICMS sobre a saída interestadual com combustíveis derivados de petróleo (art. 155, §2º, X, “b”). </w:t>
      </w:r>
      <w:r w:rsidR="00892C77" w:rsidRPr="00F44770">
        <w:rPr>
          <w:rFonts w:ascii="Calibri" w:eastAsia="Calibri" w:hAnsi="Calibri" w:cs="Arial"/>
          <w:sz w:val="24"/>
          <w:szCs w:val="24"/>
        </w:rPr>
        <w:t xml:space="preserve">O tributo, entretanto, segue sendo integralmente devido ao estado de destino da operação. Nesse contexto, discute-se se </w:t>
      </w:r>
      <w:r w:rsidR="007A6ADC" w:rsidRPr="00F44770">
        <w:rPr>
          <w:rFonts w:ascii="Calibri" w:eastAsia="Calibri" w:hAnsi="Calibri" w:cs="Arial"/>
          <w:sz w:val="24"/>
          <w:szCs w:val="24"/>
        </w:rPr>
        <w:t xml:space="preserve">o crédito </w:t>
      </w:r>
      <w:r w:rsidR="00892C77" w:rsidRPr="00F44770">
        <w:rPr>
          <w:rFonts w:ascii="Calibri" w:eastAsia="Calibri" w:hAnsi="Calibri" w:cs="Arial"/>
          <w:sz w:val="24"/>
          <w:szCs w:val="24"/>
        </w:rPr>
        <w:t xml:space="preserve">relativo a eventuais operações internas realizadas previamente à saída interestadual seguiria sendo aproveitado na origem. </w:t>
      </w:r>
    </w:p>
    <w:p w14:paraId="6472A09F" w14:textId="15905733" w:rsidR="007A6ADC" w:rsidRPr="00F44770" w:rsidRDefault="00892C77" w:rsidP="007A6ADC">
      <w:pPr>
        <w:spacing w:line="256" w:lineRule="auto"/>
        <w:ind w:firstLine="709"/>
        <w:jc w:val="both"/>
        <w:rPr>
          <w:rFonts w:ascii="Calibri" w:eastAsia="Calibri" w:hAnsi="Calibri" w:cs="Arial"/>
          <w:sz w:val="24"/>
          <w:szCs w:val="24"/>
        </w:rPr>
      </w:pPr>
      <w:r w:rsidRPr="00F44770">
        <w:rPr>
          <w:rFonts w:ascii="Calibri" w:eastAsia="Calibri" w:hAnsi="Calibri" w:cs="Arial"/>
          <w:sz w:val="24"/>
          <w:szCs w:val="24"/>
        </w:rPr>
        <w:lastRenderedPageBreak/>
        <w:t xml:space="preserve">Os estados produtores sustentam que os créditos relativos a essas saídas interestaduais deveriam ser estornados, caso contrário, seria gerado crédito na origem, mas a arrecadação </w:t>
      </w:r>
      <w:r w:rsidR="00F44770" w:rsidRPr="00F44770">
        <w:rPr>
          <w:rFonts w:ascii="Calibri" w:eastAsia="Calibri" w:hAnsi="Calibri" w:cs="Arial"/>
          <w:sz w:val="24"/>
          <w:szCs w:val="24"/>
        </w:rPr>
        <w:t xml:space="preserve">do tributo </w:t>
      </w:r>
      <w:r w:rsidRPr="00F44770">
        <w:rPr>
          <w:rFonts w:ascii="Calibri" w:eastAsia="Calibri" w:hAnsi="Calibri" w:cs="Arial"/>
          <w:sz w:val="24"/>
          <w:szCs w:val="24"/>
        </w:rPr>
        <w:t>seria devida ao estado de destino.</w:t>
      </w:r>
    </w:p>
    <w:p w14:paraId="1C88EC06" w14:textId="1B5CC763" w:rsidR="007A6ADC" w:rsidRPr="00F44770" w:rsidRDefault="007A6ADC" w:rsidP="007A6ADC">
      <w:pPr>
        <w:spacing w:line="256" w:lineRule="auto"/>
        <w:ind w:firstLine="709"/>
        <w:jc w:val="both"/>
        <w:rPr>
          <w:rFonts w:ascii="Calibri" w:eastAsia="Calibri" w:hAnsi="Calibri" w:cs="Arial"/>
          <w:sz w:val="24"/>
          <w:szCs w:val="24"/>
        </w:rPr>
      </w:pPr>
      <w:r w:rsidRPr="00F44770">
        <w:rPr>
          <w:rFonts w:ascii="Calibri" w:eastAsia="Calibri" w:hAnsi="Calibri" w:cs="Arial"/>
          <w:sz w:val="24"/>
          <w:szCs w:val="24"/>
        </w:rPr>
        <w:t xml:space="preserve">Até a suspensão, quatro ministros haviam votado, sendo três </w:t>
      </w:r>
      <w:r w:rsidR="00892C77" w:rsidRPr="00F44770">
        <w:rPr>
          <w:rFonts w:ascii="Calibri" w:eastAsia="Calibri" w:hAnsi="Calibri" w:cs="Arial"/>
          <w:sz w:val="24"/>
          <w:szCs w:val="24"/>
        </w:rPr>
        <w:t>no sentido de determinar o estorno do crédito</w:t>
      </w:r>
      <w:r w:rsidRPr="00F44770">
        <w:rPr>
          <w:rFonts w:ascii="Calibri" w:eastAsia="Calibri" w:hAnsi="Calibri" w:cs="Arial"/>
          <w:sz w:val="24"/>
          <w:szCs w:val="24"/>
        </w:rPr>
        <w:t xml:space="preserve">. O Rel. Min. Dias Toffoli votou pela manutenção dos créditos, ao fundamento de que a sua anulação no Estado de origem descaracterizaria a lógica constitucional da tributação no destino e faria recair sobre o consumidor final o custo da dupla oneração. </w:t>
      </w:r>
    </w:p>
    <w:p w14:paraId="4BD36A1C" w14:textId="77777777" w:rsidR="007A6ADC" w:rsidRPr="00F44770" w:rsidRDefault="007A6ADC" w:rsidP="007A6ADC">
      <w:pPr>
        <w:spacing w:line="256" w:lineRule="auto"/>
        <w:ind w:firstLine="709"/>
        <w:jc w:val="both"/>
        <w:rPr>
          <w:rFonts w:ascii="Calibri" w:eastAsia="Calibri" w:hAnsi="Calibri" w:cs="Arial"/>
          <w:spacing w:val="-2"/>
          <w:sz w:val="24"/>
          <w:szCs w:val="24"/>
        </w:rPr>
      </w:pPr>
      <w:r w:rsidRPr="00F44770">
        <w:rPr>
          <w:rFonts w:ascii="Calibri" w:eastAsia="Calibri" w:hAnsi="Calibri" w:cs="Arial"/>
          <w:spacing w:val="-2"/>
          <w:sz w:val="24"/>
          <w:szCs w:val="24"/>
        </w:rPr>
        <w:t>Em divergência, o Min. Alexandre de Moraes entendeu que a CF/1988 assegura expressamente a manutenção e o aproveitamento do imposto cobrado nas operações anteriores à exportação, sem estender essa mesma lógica às operações anteriores à destinação interestadual de petróleo e combustíveis derivados a outros Estados, tendo sido acompanhado pelos Ministros Flávio Dino e Cármen Lúcia.</w:t>
      </w:r>
    </w:p>
    <w:p w14:paraId="5E3AE98D" w14:textId="1E69C716" w:rsidR="00F44770" w:rsidRPr="000E7D33" w:rsidRDefault="00F44770" w:rsidP="007A6ADC">
      <w:pPr>
        <w:spacing w:line="256" w:lineRule="auto"/>
        <w:ind w:firstLine="709"/>
        <w:jc w:val="both"/>
        <w:rPr>
          <w:rFonts w:ascii="Calibri" w:eastAsia="Calibri" w:hAnsi="Calibri" w:cs="Arial"/>
          <w:spacing w:val="-2"/>
          <w:sz w:val="24"/>
          <w:szCs w:val="24"/>
        </w:rPr>
      </w:pPr>
      <w:r w:rsidRPr="00F44770">
        <w:rPr>
          <w:rFonts w:ascii="Calibri" w:eastAsia="Calibri" w:hAnsi="Calibri" w:cs="Arial"/>
          <w:spacing w:val="-2"/>
          <w:sz w:val="24"/>
          <w:szCs w:val="24"/>
        </w:rPr>
        <w:t>O julgamento, contudo, foi suspenso por pedido de vista do Min. Cristiano Zanin.</w:t>
      </w:r>
    </w:p>
    <w:p w14:paraId="5380E6DE" w14:textId="77777777" w:rsidR="006E7DFE" w:rsidRDefault="006E7DFE" w:rsidP="007A6ADC">
      <w:pPr>
        <w:spacing w:line="256" w:lineRule="auto"/>
        <w:ind w:firstLine="709"/>
        <w:jc w:val="both"/>
        <w:rPr>
          <w:rFonts w:ascii="Calibri" w:eastAsia="Calibri" w:hAnsi="Calibri" w:cs="Arial"/>
          <w:sz w:val="24"/>
          <w:szCs w:val="24"/>
        </w:rPr>
      </w:pPr>
    </w:p>
    <w:p w14:paraId="6DC39CF4" w14:textId="77777777" w:rsidR="006E7DFE" w:rsidRPr="00DB2E01" w:rsidRDefault="006E7DFE" w:rsidP="006E7DFE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outlineLvl w:val="0"/>
        <w:rPr>
          <w:rFonts w:ascii="Calibri" w:eastAsia="Calibri" w:hAnsi="Calibri" w:cs="Calibri"/>
          <w:sz w:val="24"/>
          <w:szCs w:val="24"/>
        </w:rPr>
      </w:pPr>
      <w:bookmarkStart w:id="8" w:name="_Toc226551447"/>
      <w:r w:rsidRPr="00DB2E01">
        <w:rPr>
          <w:rFonts w:ascii="Calibri" w:eastAsia="Calibri" w:hAnsi="Calibri" w:cs="Calibri"/>
          <w:b/>
          <w:bCs/>
          <w:color w:val="B08200"/>
          <w:sz w:val="28"/>
          <w:szCs w:val="28"/>
        </w:rPr>
        <w:t>STF afasta tributação adicional sobre serviços de telecomunicações</w:t>
      </w:r>
      <w:bookmarkEnd w:id="8"/>
    </w:p>
    <w:p w14:paraId="046927B8" w14:textId="77777777" w:rsidR="006E7DFE" w:rsidRPr="00DB2E01" w:rsidRDefault="006E7DFE" w:rsidP="006E7DFE">
      <w:pPr>
        <w:spacing w:after="0" w:line="240" w:lineRule="auto"/>
        <w:ind w:left="357"/>
        <w:contextualSpacing/>
        <w:jc w:val="both"/>
        <w:outlineLvl w:val="0"/>
        <w:rPr>
          <w:rFonts w:ascii="Calibri" w:eastAsia="Calibri" w:hAnsi="Calibri" w:cs="Calibri"/>
          <w:sz w:val="24"/>
          <w:szCs w:val="24"/>
        </w:rPr>
      </w:pPr>
    </w:p>
    <w:p w14:paraId="512560AF" w14:textId="442C4471" w:rsidR="006E7DFE" w:rsidRPr="00DB2E01" w:rsidRDefault="006E7DFE" w:rsidP="00767666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  <w:r w:rsidRPr="00DB2E01">
        <w:rPr>
          <w:rFonts w:ascii="Calibri" w:eastAsia="Calibri" w:hAnsi="Calibri" w:cs="Calibri"/>
          <w:sz w:val="24"/>
          <w:szCs w:val="24"/>
        </w:rPr>
        <w:t>Em 04.03.2026, o STF decidiu, por unanimidade, pela perda de eficácia das leis do</w:t>
      </w:r>
      <w:r w:rsidR="007514A4">
        <w:rPr>
          <w:rFonts w:ascii="Calibri" w:eastAsia="Calibri" w:hAnsi="Calibri" w:cs="Calibri"/>
          <w:sz w:val="24"/>
          <w:szCs w:val="24"/>
        </w:rPr>
        <w:t>s</w:t>
      </w:r>
      <w:r w:rsidRPr="00DB2E01">
        <w:rPr>
          <w:rFonts w:ascii="Calibri" w:eastAsia="Calibri" w:hAnsi="Calibri" w:cs="Calibri"/>
          <w:sz w:val="24"/>
          <w:szCs w:val="24"/>
        </w:rPr>
        <w:t xml:space="preserve"> Estado</w:t>
      </w:r>
      <w:r w:rsidR="007514A4">
        <w:rPr>
          <w:rFonts w:ascii="Calibri" w:eastAsia="Calibri" w:hAnsi="Calibri" w:cs="Calibri"/>
          <w:sz w:val="24"/>
          <w:szCs w:val="24"/>
        </w:rPr>
        <w:t>s</w:t>
      </w:r>
      <w:r w:rsidRPr="00DB2E01">
        <w:rPr>
          <w:rFonts w:ascii="Calibri" w:eastAsia="Calibri" w:hAnsi="Calibri" w:cs="Calibri"/>
          <w:sz w:val="24"/>
          <w:szCs w:val="24"/>
        </w:rPr>
        <w:t xml:space="preserve"> do Rio de Janeiro e da Paraíba que instituíram, sobre serviços de telecomunicação, adicionais de ICMS destinados aos Fundos Estaduais de Combate à Pobreza (FECP). Os dispositivos controvertidos tiveram seus efeitos afastados em decorrência da Lei Complementar</w:t>
      </w:r>
      <w:r w:rsidR="00DB2E01">
        <w:rPr>
          <w:rFonts w:ascii="Calibri" w:eastAsia="Calibri" w:hAnsi="Calibri" w:cs="Calibri"/>
          <w:sz w:val="24"/>
          <w:szCs w:val="24"/>
        </w:rPr>
        <w:t xml:space="preserve"> (LC)</w:t>
      </w:r>
      <w:r w:rsidRPr="00DB2E01">
        <w:rPr>
          <w:rFonts w:ascii="Calibri" w:eastAsia="Calibri" w:hAnsi="Calibri" w:cs="Calibri"/>
          <w:sz w:val="24"/>
          <w:szCs w:val="24"/>
        </w:rPr>
        <w:t xml:space="preserve"> 194/22, que alterou o Código Tributário Nacional (CTN) e a Lei Complementar 87/96 (Lei Kandir) para elencar os serviços de comunicação, entre outros, como essenciais e indispensáveis (ADIs 7716, 7077 e 7634). </w:t>
      </w:r>
    </w:p>
    <w:p w14:paraId="0ED8F531" w14:textId="77777777" w:rsidR="006E7DFE" w:rsidRPr="006E7DFE" w:rsidRDefault="006E7DFE" w:rsidP="00767666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</w:p>
    <w:p w14:paraId="34430CBA" w14:textId="4135E7CD" w:rsidR="006E7DFE" w:rsidRPr="00DA02C5" w:rsidRDefault="00DB2E01" w:rsidP="00767666">
      <w:pPr>
        <w:spacing w:after="0" w:line="240" w:lineRule="auto"/>
        <w:ind w:firstLine="351"/>
        <w:jc w:val="both"/>
        <w:rPr>
          <w:rFonts w:ascii="Calibri" w:eastAsia="Calibri" w:hAnsi="Calibri" w:cs="Calibri"/>
          <w:spacing w:val="-2"/>
          <w:sz w:val="24"/>
          <w:szCs w:val="24"/>
        </w:rPr>
      </w:pPr>
      <w:r w:rsidRPr="00DA02C5">
        <w:rPr>
          <w:rFonts w:ascii="Calibri" w:eastAsia="Calibri" w:hAnsi="Calibri" w:cs="Calibri"/>
          <w:spacing w:val="-2"/>
          <w:sz w:val="24"/>
          <w:szCs w:val="24"/>
        </w:rPr>
        <w:t>Nas referidas ações</w:t>
      </w:r>
      <w:r w:rsidR="006E7DFE" w:rsidRPr="00DA02C5">
        <w:rPr>
          <w:rFonts w:ascii="Calibri" w:eastAsia="Calibri" w:hAnsi="Calibri" w:cs="Calibri"/>
          <w:spacing w:val="-2"/>
          <w:sz w:val="24"/>
          <w:szCs w:val="24"/>
        </w:rPr>
        <w:t xml:space="preserve">, arguiu-se a inconstitucionalidade </w:t>
      </w:r>
      <w:r w:rsidRPr="00DA02C5">
        <w:rPr>
          <w:rFonts w:ascii="Calibri" w:eastAsia="Calibri" w:hAnsi="Calibri" w:cs="Calibri"/>
          <w:spacing w:val="-2"/>
          <w:sz w:val="24"/>
          <w:szCs w:val="24"/>
        </w:rPr>
        <w:t>de dispositivos que determinavam a incidência de adicional de alíquota para o FECP</w:t>
      </w:r>
      <w:r w:rsidR="006E7DFE" w:rsidRPr="00DA02C5">
        <w:rPr>
          <w:rFonts w:ascii="Calibri" w:eastAsia="Calibri" w:hAnsi="Calibri" w:cs="Calibri"/>
          <w:spacing w:val="-2"/>
          <w:sz w:val="24"/>
          <w:szCs w:val="24"/>
        </w:rPr>
        <w:t xml:space="preserve"> sobre os serviços de comunicação</w:t>
      </w:r>
      <w:r w:rsidRPr="00DA02C5">
        <w:rPr>
          <w:rFonts w:ascii="Calibri" w:eastAsia="Calibri" w:hAnsi="Calibri" w:cs="Calibri"/>
          <w:spacing w:val="-2"/>
          <w:sz w:val="24"/>
          <w:szCs w:val="24"/>
        </w:rPr>
        <w:t xml:space="preserve"> por violação ao princípio da seletividade</w:t>
      </w:r>
      <w:r w:rsidR="00DA02C5" w:rsidRPr="00DA02C5">
        <w:rPr>
          <w:rFonts w:ascii="Calibri" w:eastAsia="Calibri" w:hAnsi="Calibri" w:cs="Calibri"/>
          <w:spacing w:val="-2"/>
          <w:sz w:val="24"/>
          <w:szCs w:val="24"/>
        </w:rPr>
        <w:t xml:space="preserve"> do ICMS</w:t>
      </w:r>
      <w:r w:rsidRPr="00DA02C5">
        <w:rPr>
          <w:rFonts w:ascii="Calibri" w:eastAsia="Calibri" w:hAnsi="Calibri" w:cs="Calibri"/>
          <w:spacing w:val="-2"/>
          <w:sz w:val="24"/>
          <w:szCs w:val="24"/>
        </w:rPr>
        <w:t>. Subsidiariamente</w:t>
      </w:r>
      <w:r w:rsidR="00DA02C5">
        <w:rPr>
          <w:rFonts w:ascii="Calibri" w:eastAsia="Calibri" w:hAnsi="Calibri" w:cs="Calibri"/>
          <w:spacing w:val="-2"/>
          <w:sz w:val="24"/>
          <w:szCs w:val="24"/>
        </w:rPr>
        <w:t>,</w:t>
      </w:r>
      <w:r w:rsidRPr="00DA02C5">
        <w:rPr>
          <w:rFonts w:ascii="Calibri" w:eastAsia="Calibri" w:hAnsi="Calibri" w:cs="Calibri"/>
          <w:spacing w:val="-2"/>
          <w:sz w:val="24"/>
          <w:szCs w:val="24"/>
        </w:rPr>
        <w:t xml:space="preserve"> se requeria o reconhecimento da perda de eficácia dos referidos adicionais, pois, nos termos do</w:t>
      </w:r>
      <w:r w:rsidR="006E7DFE" w:rsidRPr="00DA02C5">
        <w:rPr>
          <w:rFonts w:ascii="Calibri" w:eastAsia="Calibri" w:hAnsi="Calibri" w:cs="Calibri"/>
          <w:spacing w:val="-2"/>
          <w:sz w:val="24"/>
          <w:szCs w:val="24"/>
        </w:rPr>
        <w:t xml:space="preserve"> art. 82, §1º, do ADCT</w:t>
      </w:r>
      <w:r w:rsidRPr="00DA02C5">
        <w:rPr>
          <w:rFonts w:ascii="Calibri" w:eastAsia="Calibri" w:hAnsi="Calibri" w:cs="Calibri"/>
          <w:spacing w:val="-2"/>
          <w:sz w:val="24"/>
          <w:szCs w:val="24"/>
        </w:rPr>
        <w:t>, o adicional ao FECP seria aplicável somente a bens e serviços considerados supérfluos</w:t>
      </w:r>
      <w:r w:rsidR="006E7DFE" w:rsidRPr="00DA02C5">
        <w:rPr>
          <w:rFonts w:ascii="Calibri" w:eastAsia="Calibri" w:hAnsi="Calibri" w:cs="Calibri"/>
          <w:spacing w:val="-2"/>
          <w:sz w:val="24"/>
          <w:szCs w:val="24"/>
        </w:rPr>
        <w:t>.</w:t>
      </w:r>
      <w:r w:rsidRPr="00DA02C5">
        <w:rPr>
          <w:rFonts w:ascii="Calibri" w:eastAsia="Calibri" w:hAnsi="Calibri" w:cs="Calibri"/>
          <w:spacing w:val="-2"/>
          <w:sz w:val="24"/>
          <w:szCs w:val="24"/>
        </w:rPr>
        <w:t xml:space="preserve"> Entretanto, considerando que a LC 194/22 expressamente qualificou os serviços de telecomunicação como sendo essenciais, haveria impedimento</w:t>
      </w:r>
      <w:r w:rsidR="00DA02C5" w:rsidRPr="00DA02C5">
        <w:rPr>
          <w:rFonts w:ascii="Calibri" w:eastAsia="Calibri" w:hAnsi="Calibri" w:cs="Calibri"/>
          <w:spacing w:val="-2"/>
          <w:sz w:val="24"/>
          <w:szCs w:val="24"/>
        </w:rPr>
        <w:t xml:space="preserve"> legal</w:t>
      </w:r>
      <w:r w:rsidRPr="00DA02C5">
        <w:rPr>
          <w:rFonts w:ascii="Calibri" w:eastAsia="Calibri" w:hAnsi="Calibri" w:cs="Calibri"/>
          <w:spacing w:val="-2"/>
          <w:sz w:val="24"/>
          <w:szCs w:val="24"/>
        </w:rPr>
        <w:t xml:space="preserve"> à cobrança do referido adicional.</w:t>
      </w:r>
    </w:p>
    <w:p w14:paraId="0B4C10B1" w14:textId="77777777" w:rsidR="006E7DFE" w:rsidRPr="006E7DFE" w:rsidRDefault="006E7DFE" w:rsidP="00767666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</w:p>
    <w:p w14:paraId="002916F8" w14:textId="060D244A" w:rsidR="006E7DFE" w:rsidRPr="006E7DFE" w:rsidRDefault="006E7DFE" w:rsidP="00767666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  <w:r w:rsidRPr="006E7DFE">
        <w:rPr>
          <w:rFonts w:ascii="Calibri" w:eastAsia="Calibri" w:hAnsi="Calibri" w:cs="Calibri"/>
          <w:sz w:val="24"/>
          <w:szCs w:val="24"/>
        </w:rPr>
        <w:t>No</w:t>
      </w:r>
      <w:r w:rsidR="00DA02C5">
        <w:rPr>
          <w:rFonts w:ascii="Calibri" w:eastAsia="Calibri" w:hAnsi="Calibri" w:cs="Calibri"/>
          <w:sz w:val="24"/>
          <w:szCs w:val="24"/>
        </w:rPr>
        <w:t>s julgamentos em questão</w:t>
      </w:r>
      <w:r w:rsidRPr="006E7DFE">
        <w:rPr>
          <w:rFonts w:ascii="Calibri" w:eastAsia="Calibri" w:hAnsi="Calibri" w:cs="Calibri"/>
          <w:sz w:val="24"/>
          <w:szCs w:val="24"/>
        </w:rPr>
        <w:t xml:space="preserve"> </w:t>
      </w:r>
      <w:r w:rsidR="00DA02C5">
        <w:rPr>
          <w:rFonts w:ascii="Calibri" w:eastAsia="Calibri" w:hAnsi="Calibri" w:cs="Calibri"/>
          <w:sz w:val="24"/>
          <w:szCs w:val="24"/>
        </w:rPr>
        <w:t>entendeu-se por manter o adicional de FECP antes da promulgação da LC 194/22</w:t>
      </w:r>
      <w:r w:rsidRPr="006E7DFE">
        <w:rPr>
          <w:rFonts w:ascii="Calibri" w:eastAsia="Calibri" w:hAnsi="Calibri" w:cs="Calibri"/>
          <w:sz w:val="24"/>
          <w:szCs w:val="24"/>
        </w:rPr>
        <w:t xml:space="preserve"> – pois à época da produção da norma, não havia previsão legal da essencialidade de tais serviços – mas </w:t>
      </w:r>
      <w:r w:rsidR="00DA02C5">
        <w:rPr>
          <w:rFonts w:ascii="Calibri" w:eastAsia="Calibri" w:hAnsi="Calibri" w:cs="Calibri"/>
          <w:sz w:val="24"/>
          <w:szCs w:val="24"/>
        </w:rPr>
        <w:t>reconheceu-se que, com a aprovação da referida lei complementar, os dispositivos que tratavam do referido adicional tiveram sua eficácia suspensa por incompatibilidade com a legislação complementar.</w:t>
      </w:r>
      <w:r w:rsidRPr="006E7DFE">
        <w:rPr>
          <w:rFonts w:ascii="Calibri" w:eastAsia="Calibri" w:hAnsi="Calibri" w:cs="Calibri"/>
          <w:sz w:val="24"/>
          <w:szCs w:val="24"/>
        </w:rPr>
        <w:t xml:space="preserve"> </w:t>
      </w:r>
    </w:p>
    <w:p w14:paraId="4362D234" w14:textId="77777777" w:rsidR="006E7DFE" w:rsidRPr="006E7DFE" w:rsidRDefault="006E7DFE" w:rsidP="00767666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</w:p>
    <w:p w14:paraId="4126F1E1" w14:textId="023E49D6" w:rsidR="006E7DFE" w:rsidRPr="006E7DFE" w:rsidRDefault="006E7DFE" w:rsidP="00767666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  <w:r w:rsidRPr="006E7DFE">
        <w:rPr>
          <w:rFonts w:ascii="Calibri" w:eastAsia="Calibri" w:hAnsi="Calibri" w:cs="Calibri"/>
          <w:sz w:val="24"/>
          <w:szCs w:val="24"/>
        </w:rPr>
        <w:t xml:space="preserve">Em ambos os casos, no entanto, houve modulação, de modo que somente produzirá efeitos a partir de 01.01.2027. </w:t>
      </w:r>
    </w:p>
    <w:p w14:paraId="2606B837" w14:textId="77777777" w:rsidR="006E7DFE" w:rsidRPr="007A6ADC" w:rsidRDefault="006E7DFE" w:rsidP="007A6ADC">
      <w:pPr>
        <w:spacing w:line="256" w:lineRule="auto"/>
        <w:ind w:firstLine="709"/>
        <w:jc w:val="both"/>
        <w:rPr>
          <w:rFonts w:ascii="Calibri" w:eastAsia="Calibri" w:hAnsi="Calibri" w:cs="Arial"/>
          <w:sz w:val="24"/>
          <w:szCs w:val="24"/>
        </w:rPr>
      </w:pPr>
    </w:p>
    <w:p w14:paraId="7D21BEB3" w14:textId="77777777" w:rsidR="006E7DFE" w:rsidRPr="00806BA3" w:rsidRDefault="006E7DFE" w:rsidP="006E7DFE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outlineLvl w:val="0"/>
        <w:rPr>
          <w:rFonts w:ascii="Calibri" w:eastAsia="Calibri" w:hAnsi="Calibri" w:cs="Calibri"/>
          <w:b/>
          <w:bCs/>
          <w:color w:val="B08200"/>
          <w:sz w:val="28"/>
          <w:szCs w:val="28"/>
        </w:rPr>
      </w:pPr>
      <w:bookmarkStart w:id="9" w:name="_Toc226551448"/>
      <w:r w:rsidRPr="00806BA3">
        <w:rPr>
          <w:rFonts w:ascii="Calibri" w:eastAsia="Calibri" w:hAnsi="Calibri" w:cs="Calibri"/>
          <w:b/>
          <w:bCs/>
          <w:color w:val="B08200"/>
          <w:sz w:val="28"/>
          <w:szCs w:val="28"/>
        </w:rPr>
        <w:t>Exclusão dos créditos presumidos de ICMS da base de cálculo do IRPJ/CSL é afetada para julgamento sob o rito dos repetitivos</w:t>
      </w:r>
      <w:bookmarkEnd w:id="9"/>
    </w:p>
    <w:p w14:paraId="129DDBA1" w14:textId="77777777" w:rsidR="006E7DFE" w:rsidRPr="00806BA3" w:rsidRDefault="006E7DFE" w:rsidP="006E7DFE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CFF7A0B" w14:textId="77777777" w:rsidR="006E7DFE" w:rsidRPr="00806BA3" w:rsidRDefault="006E7DFE" w:rsidP="006E7DFE">
      <w:pPr>
        <w:spacing w:after="0" w:line="240" w:lineRule="auto"/>
        <w:ind w:firstLine="357"/>
        <w:jc w:val="both"/>
        <w:rPr>
          <w:rFonts w:ascii="Calibri" w:eastAsia="Calibri" w:hAnsi="Calibri" w:cs="Calibri"/>
          <w:sz w:val="24"/>
          <w:szCs w:val="24"/>
        </w:rPr>
      </w:pPr>
      <w:r w:rsidRPr="00806BA3">
        <w:rPr>
          <w:rFonts w:ascii="Calibri" w:eastAsia="Calibri" w:hAnsi="Calibri" w:cs="Calibri"/>
          <w:sz w:val="24"/>
          <w:szCs w:val="24"/>
        </w:rPr>
        <w:t>Em 16.03.2026, a 1ª Seção do STJ afetou como repetitivo o tema relativo à incidência do IRPJ e da CSL sobre os créditos presumidos de ICMS, no regime jurídico anterior e posterior à Lei das Subvenções (Lei 14.789/2023) – Tema 1416.</w:t>
      </w:r>
    </w:p>
    <w:p w14:paraId="7FF9C791" w14:textId="77777777" w:rsidR="006E7DFE" w:rsidRPr="00806BA3" w:rsidRDefault="006E7DFE" w:rsidP="006E7DFE">
      <w:pPr>
        <w:spacing w:after="0" w:line="240" w:lineRule="auto"/>
        <w:ind w:left="357" w:firstLine="351"/>
        <w:jc w:val="both"/>
        <w:rPr>
          <w:rFonts w:ascii="Calibri" w:eastAsia="Calibri" w:hAnsi="Calibri" w:cs="Calibri"/>
          <w:sz w:val="24"/>
          <w:szCs w:val="24"/>
        </w:rPr>
      </w:pPr>
    </w:p>
    <w:p w14:paraId="2C6A0222" w14:textId="6C81E912" w:rsidR="006E7DFE" w:rsidRPr="00806BA3" w:rsidRDefault="006E7DFE" w:rsidP="006E7DFE">
      <w:pPr>
        <w:spacing w:after="0" w:line="240" w:lineRule="auto"/>
        <w:ind w:firstLine="357"/>
        <w:jc w:val="both"/>
        <w:rPr>
          <w:rFonts w:ascii="Calibri" w:eastAsia="Calibri" w:hAnsi="Calibri" w:cs="Calibri"/>
          <w:sz w:val="24"/>
          <w:szCs w:val="24"/>
        </w:rPr>
      </w:pPr>
      <w:r w:rsidRPr="00806BA3">
        <w:rPr>
          <w:rFonts w:ascii="Calibri" w:eastAsia="Calibri" w:hAnsi="Calibri" w:cs="Calibri"/>
          <w:sz w:val="24"/>
          <w:szCs w:val="24"/>
        </w:rPr>
        <w:t>O repetitivo, sob relatoria da Min. Regina Helena Costa, pretende</w:t>
      </w:r>
      <w:r w:rsidR="00806BA3">
        <w:rPr>
          <w:rFonts w:ascii="Calibri" w:eastAsia="Calibri" w:hAnsi="Calibri" w:cs="Calibri"/>
          <w:sz w:val="24"/>
          <w:szCs w:val="24"/>
        </w:rPr>
        <w:t xml:space="preserve"> re</w:t>
      </w:r>
      <w:r w:rsidRPr="00806BA3">
        <w:rPr>
          <w:rFonts w:ascii="Calibri" w:eastAsia="Calibri" w:hAnsi="Calibri" w:cs="Calibri"/>
          <w:sz w:val="24"/>
          <w:szCs w:val="24"/>
        </w:rPr>
        <w:t xml:space="preserve">discutir questão já bem consolidada no </w:t>
      </w:r>
      <w:r w:rsidR="00D23E4F">
        <w:rPr>
          <w:rFonts w:ascii="Calibri" w:eastAsia="Calibri" w:hAnsi="Calibri" w:cs="Calibri"/>
          <w:sz w:val="24"/>
          <w:szCs w:val="24"/>
        </w:rPr>
        <w:t>T</w:t>
      </w:r>
      <w:r w:rsidRPr="00806BA3">
        <w:rPr>
          <w:rFonts w:ascii="Calibri" w:eastAsia="Calibri" w:hAnsi="Calibri" w:cs="Calibri"/>
          <w:sz w:val="24"/>
          <w:szCs w:val="24"/>
        </w:rPr>
        <w:t xml:space="preserve">ribunal </w:t>
      </w:r>
      <w:r w:rsidR="00D23E4F">
        <w:rPr>
          <w:rFonts w:ascii="Calibri" w:eastAsia="Calibri" w:hAnsi="Calibri" w:cs="Calibri"/>
          <w:sz w:val="24"/>
          <w:szCs w:val="24"/>
        </w:rPr>
        <w:t>S</w:t>
      </w:r>
      <w:r w:rsidRPr="00806BA3">
        <w:rPr>
          <w:rFonts w:ascii="Calibri" w:eastAsia="Calibri" w:hAnsi="Calibri" w:cs="Calibri"/>
          <w:sz w:val="24"/>
          <w:szCs w:val="24"/>
        </w:rPr>
        <w:t>uperior. Historicamente, o STJ firmou entendimento favorável aos contribuintes, no sentido de que a tributação dos créditos presumidos de ICMS violaria o pacto federativo, uma vez que implicaria a apropriação, pela União, de incentivo fiscal concedido pelos Estados (</w:t>
      </w:r>
      <w:proofErr w:type="spellStart"/>
      <w:r w:rsidRPr="00806BA3">
        <w:rPr>
          <w:rFonts w:ascii="Calibri" w:eastAsia="Calibri" w:hAnsi="Calibri" w:cs="Calibri"/>
          <w:sz w:val="24"/>
          <w:szCs w:val="24"/>
        </w:rPr>
        <w:t>EREsp</w:t>
      </w:r>
      <w:proofErr w:type="spellEnd"/>
      <w:r w:rsidRPr="00806BA3">
        <w:rPr>
          <w:rFonts w:ascii="Calibri" w:eastAsia="Calibri" w:hAnsi="Calibri" w:cs="Calibri"/>
          <w:sz w:val="24"/>
          <w:szCs w:val="24"/>
        </w:rPr>
        <w:t xml:space="preserve"> 1.517.492). Posteriormente, ao julgar o Tema Repetitivo 1182, o tribunal afirmou a possibilidade de incidência dos tributos federais sobre benefícios ficais em geral, mas ressalvou expressamente a situação dos créditos presumidos.</w:t>
      </w:r>
    </w:p>
    <w:p w14:paraId="79E0A0F3" w14:textId="77777777" w:rsidR="006E7DFE" w:rsidRPr="00806BA3" w:rsidRDefault="006E7DFE" w:rsidP="006E7DFE">
      <w:pPr>
        <w:spacing w:after="0" w:line="240" w:lineRule="auto"/>
        <w:ind w:left="357" w:firstLine="351"/>
        <w:jc w:val="both"/>
        <w:rPr>
          <w:rFonts w:ascii="Calibri" w:eastAsia="Calibri" w:hAnsi="Calibri" w:cs="Calibri"/>
          <w:sz w:val="24"/>
          <w:szCs w:val="24"/>
        </w:rPr>
      </w:pPr>
    </w:p>
    <w:p w14:paraId="398B78DF" w14:textId="77777777" w:rsidR="006E7DFE" w:rsidRPr="00806BA3" w:rsidRDefault="006E7DFE" w:rsidP="006E7DFE">
      <w:pPr>
        <w:spacing w:after="0" w:line="240" w:lineRule="auto"/>
        <w:ind w:firstLine="357"/>
        <w:jc w:val="both"/>
        <w:rPr>
          <w:rFonts w:ascii="Calibri" w:eastAsia="Calibri" w:hAnsi="Calibri" w:cs="Calibri"/>
          <w:sz w:val="24"/>
          <w:szCs w:val="24"/>
        </w:rPr>
      </w:pPr>
      <w:r w:rsidRPr="00806BA3">
        <w:rPr>
          <w:rFonts w:ascii="Calibri" w:eastAsia="Calibri" w:hAnsi="Calibri" w:cs="Calibri"/>
          <w:sz w:val="24"/>
          <w:szCs w:val="24"/>
        </w:rPr>
        <w:t xml:space="preserve">Com a superveniência da Lei 14.789/2023, que alterou substancialmente a legislação sobre os incentivos fiscais, o Fisco vem invocando suas disposições para exigir dos contribuintes a inclusão dos benefícios nas bases de cálculo dos tributos federais (IRPJ, CSL, PIS e COFINS), sob o argumento que as alterações introduzidas pela lei permitem a tributação de todo e qualquer benefício fiscal. Apesar disso, contribuintes defendem que o entendimento consolidado do STJ não pode ser alterado, especialmente por estar fundamentado em aspectos estruturais do federalismo brasileiro. Ademais, destacam que as decisões recentes da corte têm mantido a orientação favorável mesmo após a mudança legislativa. </w:t>
      </w:r>
    </w:p>
    <w:p w14:paraId="36A8E0BF" w14:textId="77777777" w:rsidR="006E7DFE" w:rsidRPr="00806BA3" w:rsidRDefault="006E7DFE" w:rsidP="006E7DFE">
      <w:pPr>
        <w:spacing w:after="0" w:line="240" w:lineRule="auto"/>
        <w:ind w:left="357" w:firstLine="351"/>
        <w:jc w:val="both"/>
        <w:rPr>
          <w:rFonts w:ascii="Calibri" w:eastAsia="Calibri" w:hAnsi="Calibri" w:cs="Calibri"/>
          <w:sz w:val="24"/>
          <w:szCs w:val="24"/>
        </w:rPr>
      </w:pPr>
    </w:p>
    <w:p w14:paraId="07C2E225" w14:textId="77777777" w:rsidR="006E7DFE" w:rsidRPr="006E7DFE" w:rsidRDefault="006E7DFE" w:rsidP="006E7DFE">
      <w:pPr>
        <w:spacing w:after="0" w:line="240" w:lineRule="auto"/>
        <w:ind w:firstLine="357"/>
        <w:jc w:val="both"/>
        <w:rPr>
          <w:rFonts w:ascii="Calibri" w:eastAsia="Calibri" w:hAnsi="Calibri" w:cs="Calibri"/>
          <w:sz w:val="24"/>
          <w:szCs w:val="24"/>
        </w:rPr>
      </w:pPr>
      <w:r w:rsidRPr="00806BA3">
        <w:rPr>
          <w:rFonts w:ascii="Calibri" w:eastAsia="Calibri" w:hAnsi="Calibri" w:cs="Calibri"/>
          <w:sz w:val="24"/>
          <w:szCs w:val="24"/>
        </w:rPr>
        <w:t>Ainda sem previsão de inclusão em pauta para julgamento do mérito da controvérsia, foi determinada a suspensão dos recursos especiais e agravos em recurso especial, em segunda grau de jurisdição e/ou no STJ, que tratem sobre o tema.</w:t>
      </w:r>
    </w:p>
    <w:p w14:paraId="4E4C4591" w14:textId="77777777" w:rsidR="00320CEF" w:rsidRPr="00320CEF" w:rsidRDefault="00320CEF" w:rsidP="00320CEF">
      <w:pPr>
        <w:spacing w:after="0" w:line="240" w:lineRule="auto"/>
        <w:ind w:firstLine="357"/>
        <w:jc w:val="both"/>
        <w:rPr>
          <w:rFonts w:ascii="Calibri" w:eastAsia="Calibri" w:hAnsi="Calibri" w:cs="Calibri"/>
          <w:sz w:val="24"/>
          <w:szCs w:val="24"/>
        </w:rPr>
      </w:pPr>
    </w:p>
    <w:p w14:paraId="107786C6" w14:textId="77777777" w:rsidR="007A6ADC" w:rsidRDefault="007A6ADC" w:rsidP="00320CE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5DD303D" w14:textId="0130EDFC" w:rsidR="00531EC1" w:rsidRPr="00531EC1" w:rsidRDefault="00531EC1" w:rsidP="00531EC1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outlineLvl w:val="0"/>
        <w:rPr>
          <w:rFonts w:ascii="Calibri" w:eastAsia="Calibri" w:hAnsi="Calibri" w:cs="Calibri"/>
          <w:b/>
          <w:bCs/>
          <w:color w:val="B08200"/>
          <w:sz w:val="28"/>
          <w:szCs w:val="28"/>
        </w:rPr>
      </w:pPr>
      <w:bookmarkStart w:id="10" w:name="_Toc226551449"/>
      <w:r w:rsidRPr="00531EC1">
        <w:rPr>
          <w:rFonts w:ascii="Calibri" w:eastAsia="Calibri" w:hAnsi="Calibri" w:cs="Calibri"/>
          <w:b/>
          <w:bCs/>
          <w:color w:val="B08200"/>
          <w:sz w:val="28"/>
          <w:szCs w:val="28"/>
        </w:rPr>
        <w:t xml:space="preserve">CSRF admite retroatividade </w:t>
      </w:r>
      <w:r w:rsidR="00E550E1">
        <w:rPr>
          <w:rFonts w:ascii="Calibri" w:eastAsia="Calibri" w:hAnsi="Calibri" w:cs="Calibri"/>
          <w:b/>
          <w:bCs/>
          <w:color w:val="B08200"/>
          <w:sz w:val="28"/>
          <w:szCs w:val="28"/>
        </w:rPr>
        <w:t>de lei que define o conceito de “praça”</w:t>
      </w:r>
      <w:bookmarkEnd w:id="10"/>
    </w:p>
    <w:p w14:paraId="5190696E" w14:textId="77777777" w:rsidR="00531EC1" w:rsidRPr="00531EC1" w:rsidRDefault="00531EC1" w:rsidP="00531EC1">
      <w:pPr>
        <w:spacing w:after="0" w:line="240" w:lineRule="auto"/>
        <w:ind w:left="357" w:firstLine="351"/>
        <w:jc w:val="both"/>
        <w:rPr>
          <w:rFonts w:ascii="Calibri" w:eastAsia="Calibri" w:hAnsi="Calibri" w:cs="Calibri"/>
          <w:sz w:val="24"/>
          <w:szCs w:val="24"/>
        </w:rPr>
      </w:pPr>
    </w:p>
    <w:p w14:paraId="2C296F90" w14:textId="5BA0E5A7" w:rsidR="00531EC1" w:rsidRPr="00531EC1" w:rsidRDefault="005304ED" w:rsidP="005304ED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Em</w:t>
      </w:r>
      <w:r w:rsidR="00531EC1" w:rsidRPr="00531EC1">
        <w:rPr>
          <w:rFonts w:ascii="Calibri" w:eastAsia="Calibri" w:hAnsi="Calibri" w:cs="Calibri"/>
          <w:sz w:val="24"/>
          <w:szCs w:val="24"/>
        </w:rPr>
        <w:t xml:space="preserve"> 29.01.2026, a 3ª Turma da Câmara Superior do CARF, por voto de qualidade, reconheceu, pela primeira vez, que a Lei 14.395/2022</w:t>
      </w:r>
      <w:r>
        <w:rPr>
          <w:rFonts w:ascii="Calibri" w:eastAsia="Calibri" w:hAnsi="Calibri" w:cs="Calibri"/>
          <w:sz w:val="24"/>
          <w:szCs w:val="24"/>
        </w:rPr>
        <w:t>, que define o conceito de “praça” para fins da legislação do IPI,</w:t>
      </w:r>
      <w:r w:rsidR="00531EC1" w:rsidRPr="00531EC1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pode ser aplicada</w:t>
      </w:r>
      <w:r w:rsidR="00531EC1" w:rsidRPr="00531EC1">
        <w:rPr>
          <w:rFonts w:ascii="Calibri" w:eastAsia="Calibri" w:hAnsi="Calibri" w:cs="Calibri"/>
          <w:sz w:val="24"/>
          <w:szCs w:val="24"/>
        </w:rPr>
        <w:t xml:space="preserve"> retroativa</w:t>
      </w:r>
      <w:r>
        <w:rPr>
          <w:rFonts w:ascii="Calibri" w:eastAsia="Calibri" w:hAnsi="Calibri" w:cs="Calibri"/>
          <w:sz w:val="24"/>
          <w:szCs w:val="24"/>
        </w:rPr>
        <w:t>mente</w:t>
      </w:r>
      <w:r w:rsidR="00531EC1" w:rsidRPr="00531EC1">
        <w:rPr>
          <w:rFonts w:ascii="Calibri" w:eastAsia="Calibri" w:hAnsi="Calibri" w:cs="Calibri"/>
          <w:sz w:val="24"/>
          <w:szCs w:val="24"/>
        </w:rPr>
        <w:t xml:space="preserve">, por </w:t>
      </w:r>
      <w:r>
        <w:rPr>
          <w:rFonts w:ascii="Calibri" w:eastAsia="Calibri" w:hAnsi="Calibri" w:cs="Calibri"/>
          <w:sz w:val="24"/>
          <w:szCs w:val="24"/>
        </w:rPr>
        <w:t>ser norma de</w:t>
      </w:r>
      <w:r w:rsidR="00531EC1" w:rsidRPr="00531EC1">
        <w:rPr>
          <w:rFonts w:ascii="Calibri" w:eastAsia="Calibri" w:hAnsi="Calibri" w:cs="Calibri"/>
          <w:sz w:val="24"/>
          <w:szCs w:val="24"/>
        </w:rPr>
        <w:t xml:space="preserve"> natureza interpretativa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531EC1"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PA</w:t>
      </w:r>
      <w:r w:rsidRPr="00531EC1">
        <w:rPr>
          <w:rFonts w:ascii="Calibri" w:eastAsia="Calibri" w:hAnsi="Calibri" w:cs="Calibri"/>
          <w:sz w:val="24"/>
          <w:szCs w:val="24"/>
        </w:rPr>
        <w:t xml:space="preserve"> </w:t>
      </w:r>
      <w:r w:rsidRPr="004669A7">
        <w:rPr>
          <w:rFonts w:ascii="Calibri" w:eastAsia="Calibri" w:hAnsi="Calibri" w:cs="Calibri"/>
          <w:sz w:val="24"/>
          <w:szCs w:val="24"/>
        </w:rPr>
        <w:t>13370.722417/2020-120</w:t>
      </w:r>
      <w:r w:rsidR="00E550E1" w:rsidRPr="004669A7">
        <w:rPr>
          <w:rFonts w:ascii="Calibri" w:eastAsia="Calibri" w:hAnsi="Calibri" w:cs="Calibri"/>
          <w:sz w:val="24"/>
          <w:szCs w:val="24"/>
        </w:rPr>
        <w:t>)</w:t>
      </w:r>
      <w:r w:rsidRPr="004669A7">
        <w:rPr>
          <w:rFonts w:ascii="Calibri" w:eastAsia="Calibri" w:hAnsi="Calibri" w:cs="Calibri"/>
          <w:sz w:val="24"/>
          <w:szCs w:val="24"/>
        </w:rPr>
        <w:t>.</w:t>
      </w:r>
      <w:r w:rsidR="00531EC1" w:rsidRPr="00531EC1">
        <w:rPr>
          <w:rFonts w:ascii="Calibri" w:eastAsia="Calibri" w:hAnsi="Calibri" w:cs="Calibri"/>
          <w:sz w:val="24"/>
          <w:szCs w:val="24"/>
        </w:rPr>
        <w:t xml:space="preserve"> </w:t>
      </w:r>
    </w:p>
    <w:p w14:paraId="4CA9AF8B" w14:textId="77777777" w:rsidR="00531EC1" w:rsidRPr="00531EC1" w:rsidRDefault="00531EC1" w:rsidP="005304ED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</w:p>
    <w:p w14:paraId="24C0453C" w14:textId="181331C8" w:rsidR="00531EC1" w:rsidRPr="00531EC1" w:rsidRDefault="00531EC1" w:rsidP="005304ED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  <w:r w:rsidRPr="00531EC1">
        <w:rPr>
          <w:rFonts w:ascii="Calibri" w:eastAsia="Calibri" w:hAnsi="Calibri" w:cs="Calibri"/>
          <w:sz w:val="24"/>
          <w:szCs w:val="24"/>
        </w:rPr>
        <w:t xml:space="preserve">A discussão </w:t>
      </w:r>
      <w:r w:rsidR="00D36026">
        <w:rPr>
          <w:rFonts w:ascii="Calibri" w:eastAsia="Calibri" w:hAnsi="Calibri" w:cs="Calibri"/>
          <w:sz w:val="24"/>
          <w:szCs w:val="24"/>
        </w:rPr>
        <w:t>gira em torno do art. 15 da Lei 4.502/64 que estabelece regras de base de cálculo mínima do IPI. A referida lei determina que a base de cálculo do tributo não pode ser inferior à “</w:t>
      </w:r>
      <w:r w:rsidR="00D36026" w:rsidRPr="00D36026">
        <w:rPr>
          <w:rFonts w:ascii="Calibri" w:eastAsia="Calibri" w:hAnsi="Calibri" w:cs="Calibri"/>
          <w:sz w:val="24"/>
          <w:szCs w:val="24"/>
        </w:rPr>
        <w:t xml:space="preserve">ao preço corrente no mercado atacadista da </w:t>
      </w:r>
      <w:r w:rsidR="00D36026" w:rsidRPr="00D36026">
        <w:rPr>
          <w:rFonts w:ascii="Calibri" w:eastAsia="Calibri" w:hAnsi="Calibri" w:cs="Calibri"/>
          <w:sz w:val="24"/>
          <w:szCs w:val="24"/>
          <w:u w:val="single"/>
        </w:rPr>
        <w:t>praça</w:t>
      </w:r>
      <w:r w:rsidR="00D36026" w:rsidRPr="00D36026">
        <w:rPr>
          <w:rFonts w:ascii="Calibri" w:eastAsia="Calibri" w:hAnsi="Calibri" w:cs="Calibri"/>
          <w:sz w:val="24"/>
          <w:szCs w:val="24"/>
        </w:rPr>
        <w:t xml:space="preserve"> do remetent</w:t>
      </w:r>
      <w:r w:rsidR="00D36026">
        <w:rPr>
          <w:rFonts w:ascii="Calibri" w:eastAsia="Calibri" w:hAnsi="Calibri" w:cs="Calibri"/>
          <w:sz w:val="24"/>
          <w:szCs w:val="24"/>
        </w:rPr>
        <w:t>e”.</w:t>
      </w:r>
      <w:r w:rsidRPr="00531EC1">
        <w:rPr>
          <w:rFonts w:ascii="Calibri" w:eastAsia="Calibri" w:hAnsi="Calibri" w:cs="Calibri"/>
          <w:sz w:val="24"/>
          <w:szCs w:val="24"/>
        </w:rPr>
        <w:t xml:space="preserve"> </w:t>
      </w:r>
      <w:r w:rsidR="00D36026">
        <w:rPr>
          <w:rFonts w:ascii="Calibri" w:eastAsia="Calibri" w:hAnsi="Calibri" w:cs="Calibri"/>
          <w:sz w:val="24"/>
          <w:szCs w:val="24"/>
        </w:rPr>
        <w:t>Ocorre que o conceito de “praça” era objeto de expressiva controvérsia, o que fez com que fosse editada a Lei 14.395/2022, que definiu “praça” como sendo sinônimo de Município.</w:t>
      </w:r>
    </w:p>
    <w:p w14:paraId="7F2CCB30" w14:textId="77777777" w:rsidR="00531EC1" w:rsidRPr="00531EC1" w:rsidRDefault="00531EC1" w:rsidP="005304ED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</w:p>
    <w:p w14:paraId="4E5BFCE6" w14:textId="31AE6CCC" w:rsidR="00531EC1" w:rsidRDefault="00D36026" w:rsidP="005304ED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  <w:r w:rsidRPr="00D36026">
        <w:rPr>
          <w:rFonts w:ascii="Calibri" w:eastAsia="Calibri" w:hAnsi="Calibri" w:cs="Calibri"/>
          <w:sz w:val="24"/>
          <w:szCs w:val="24"/>
        </w:rPr>
        <w:t>No caso concreto, a contribuinte sustentou que o imposto deveria ser apurado com base na média ponderada dos preços praticados pelos estabelecimentos situados no Município em que se encontra instalada. A Receita Federal, por sua vez, defendeu a adoção do valor de revenda a clientes independentes, ainda que localizados em outras municipalidades.</w:t>
      </w:r>
    </w:p>
    <w:p w14:paraId="2873A2CF" w14:textId="77777777" w:rsidR="00D36026" w:rsidRPr="00531EC1" w:rsidRDefault="00D36026" w:rsidP="005304ED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</w:p>
    <w:p w14:paraId="74D67A84" w14:textId="4FEF9DF0" w:rsidR="00531EC1" w:rsidRDefault="00D36026" w:rsidP="005304ED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  <w:r w:rsidRPr="00D36026">
        <w:rPr>
          <w:rFonts w:ascii="Calibri" w:eastAsia="Calibri" w:hAnsi="Calibri" w:cs="Calibri"/>
          <w:sz w:val="24"/>
          <w:szCs w:val="24"/>
        </w:rPr>
        <w:t>Prevaleceu o entendimento da contribuinte, no sentido de que a Lei 14.395/2022 pacificou a controvérsia ao estabelecer que o conceito de “praça” corresponde ao Município do estabelecimento remetente, vedando-se, portanto, a consideração de preços praticados fora desses limites territoriais.</w:t>
      </w:r>
    </w:p>
    <w:p w14:paraId="72F09B8C" w14:textId="77777777" w:rsidR="00D36026" w:rsidRPr="00531EC1" w:rsidRDefault="00D36026" w:rsidP="005304ED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</w:p>
    <w:p w14:paraId="63270BC4" w14:textId="45A4170F" w:rsidR="00531EC1" w:rsidRPr="00531EC1" w:rsidRDefault="00531EC1" w:rsidP="005304ED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  <w:r w:rsidRPr="00531EC1">
        <w:rPr>
          <w:rFonts w:ascii="Calibri" w:eastAsia="Calibri" w:hAnsi="Calibri" w:cs="Calibri"/>
          <w:sz w:val="24"/>
          <w:szCs w:val="24"/>
        </w:rPr>
        <w:t>O julgamento sinaliza orientação favorável à retroatividade da Lei 14.395/2022 e fortalece a tese de que o conceito legal de “praça” deve ser aplicado também a fatos geradores anteriores à sua edição. A decisão possui potencial de repercussão relevante no contencioso administrativo, pois o tema integra uma das teses de maior impacto econômico previstas no edital do Programa de Transação Integral da PGFN, e há outros processos de elevado valor em discussão no CARF</w:t>
      </w:r>
      <w:r w:rsidR="00D36026">
        <w:rPr>
          <w:rFonts w:ascii="Calibri" w:eastAsia="Calibri" w:hAnsi="Calibri" w:cs="Calibri"/>
          <w:sz w:val="24"/>
          <w:szCs w:val="24"/>
        </w:rPr>
        <w:t xml:space="preserve"> sobre o mesmo assunto</w:t>
      </w:r>
      <w:r w:rsidRPr="00531EC1">
        <w:rPr>
          <w:rFonts w:ascii="Calibri" w:eastAsia="Calibri" w:hAnsi="Calibri" w:cs="Calibri"/>
          <w:sz w:val="24"/>
          <w:szCs w:val="24"/>
        </w:rPr>
        <w:t>.</w:t>
      </w:r>
    </w:p>
    <w:p w14:paraId="6BFB5B1B" w14:textId="77777777" w:rsidR="00531EC1" w:rsidRPr="00531EC1" w:rsidRDefault="00531EC1" w:rsidP="005304ED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</w:p>
    <w:p w14:paraId="24E31325" w14:textId="77777777" w:rsidR="00531EC1" w:rsidRPr="00531EC1" w:rsidRDefault="00531EC1" w:rsidP="005304ED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  <w:r w:rsidRPr="00531EC1">
        <w:rPr>
          <w:rFonts w:ascii="Calibri" w:eastAsia="Calibri" w:hAnsi="Calibri" w:cs="Calibri"/>
          <w:sz w:val="24"/>
          <w:szCs w:val="24"/>
        </w:rPr>
        <w:t>O acórdão, até o momento, está pendente de publicação.</w:t>
      </w:r>
    </w:p>
    <w:p w14:paraId="3662417E" w14:textId="77777777" w:rsidR="00531EC1" w:rsidRPr="00531EC1" w:rsidRDefault="00531EC1" w:rsidP="00531EC1">
      <w:pPr>
        <w:spacing w:after="0" w:line="240" w:lineRule="auto"/>
        <w:ind w:left="357" w:firstLine="351"/>
        <w:jc w:val="both"/>
        <w:rPr>
          <w:rFonts w:ascii="Calibri" w:eastAsia="Calibri" w:hAnsi="Calibri" w:cs="Calibri"/>
          <w:sz w:val="24"/>
          <w:szCs w:val="24"/>
        </w:rPr>
      </w:pPr>
    </w:p>
    <w:p w14:paraId="64EDCE2F" w14:textId="77777777" w:rsidR="00433E8B" w:rsidRPr="00BD1A50" w:rsidRDefault="00433E8B" w:rsidP="00433E8B">
      <w:pPr>
        <w:spacing w:after="0" w:line="240" w:lineRule="auto"/>
        <w:jc w:val="both"/>
        <w:outlineLvl w:val="0"/>
        <w:rPr>
          <w:rFonts w:ascii="Calibri" w:hAnsi="Calibri" w:cs="Calibri"/>
          <w:b/>
          <w:bCs/>
          <w:color w:val="B08200"/>
          <w:sz w:val="28"/>
          <w:szCs w:val="28"/>
        </w:rPr>
      </w:pPr>
    </w:p>
    <w:p w14:paraId="120BBC44" w14:textId="49DD2D27" w:rsidR="00433E8B" w:rsidRPr="00546BE9" w:rsidRDefault="00546BE9" w:rsidP="00433E8B">
      <w:pPr>
        <w:pStyle w:val="PargrafodaLista"/>
        <w:numPr>
          <w:ilvl w:val="0"/>
          <w:numId w:val="1"/>
        </w:numPr>
        <w:spacing w:after="0" w:line="240" w:lineRule="auto"/>
        <w:ind w:left="357" w:hanging="357"/>
        <w:contextualSpacing w:val="0"/>
        <w:jc w:val="both"/>
        <w:outlineLvl w:val="0"/>
        <w:rPr>
          <w:rFonts w:ascii="Calibri" w:hAnsi="Calibri" w:cs="Calibri"/>
          <w:b/>
          <w:bCs/>
          <w:color w:val="B08200"/>
          <w:sz w:val="28"/>
          <w:szCs w:val="28"/>
        </w:rPr>
      </w:pPr>
      <w:bookmarkStart w:id="11" w:name="_Toc226551450"/>
      <w:r>
        <w:rPr>
          <w:rFonts w:ascii="Calibri" w:hAnsi="Calibri" w:cs="Calibri"/>
          <w:b/>
          <w:bCs/>
          <w:color w:val="B08200"/>
          <w:sz w:val="28"/>
          <w:szCs w:val="28"/>
        </w:rPr>
        <w:t xml:space="preserve">Liminar </w:t>
      </w:r>
      <w:r w:rsidR="00DF04BD" w:rsidRPr="004669A7">
        <w:rPr>
          <w:rFonts w:ascii="Calibri" w:hAnsi="Calibri" w:cs="Calibri"/>
          <w:b/>
          <w:bCs/>
          <w:color w:val="B08200"/>
          <w:sz w:val="28"/>
          <w:szCs w:val="28"/>
        </w:rPr>
        <w:t>suspende</w:t>
      </w:r>
      <w:r w:rsidR="00DF04BD">
        <w:rPr>
          <w:rFonts w:ascii="Calibri" w:hAnsi="Calibri" w:cs="Calibri"/>
          <w:b/>
          <w:bCs/>
          <w:color w:val="B08200"/>
          <w:sz w:val="28"/>
          <w:szCs w:val="28"/>
        </w:rPr>
        <w:t xml:space="preserve"> </w:t>
      </w:r>
      <w:r w:rsidR="00433E8B" w:rsidRPr="00546BE9">
        <w:rPr>
          <w:rFonts w:ascii="Calibri" w:hAnsi="Calibri" w:cs="Calibri"/>
          <w:b/>
          <w:bCs/>
          <w:color w:val="B08200"/>
          <w:sz w:val="28"/>
          <w:szCs w:val="28"/>
        </w:rPr>
        <w:t xml:space="preserve">restrições </w:t>
      </w:r>
      <w:r>
        <w:rPr>
          <w:rFonts w:ascii="Calibri" w:hAnsi="Calibri" w:cs="Calibri"/>
          <w:b/>
          <w:bCs/>
          <w:color w:val="B08200"/>
          <w:sz w:val="28"/>
          <w:szCs w:val="28"/>
        </w:rPr>
        <w:t>impostas pelo</w:t>
      </w:r>
      <w:r w:rsidR="00433E8B" w:rsidRPr="00546BE9">
        <w:rPr>
          <w:rFonts w:ascii="Calibri" w:hAnsi="Calibri" w:cs="Calibri"/>
          <w:b/>
          <w:bCs/>
          <w:color w:val="B08200"/>
          <w:sz w:val="28"/>
          <w:szCs w:val="28"/>
        </w:rPr>
        <w:t xml:space="preserve"> TCU </w:t>
      </w:r>
      <w:r>
        <w:rPr>
          <w:rFonts w:ascii="Calibri" w:hAnsi="Calibri" w:cs="Calibri"/>
          <w:b/>
          <w:bCs/>
          <w:color w:val="B08200"/>
          <w:sz w:val="28"/>
          <w:szCs w:val="28"/>
        </w:rPr>
        <w:t xml:space="preserve">ao aproveitamento de prejuízos fiscais em </w:t>
      </w:r>
      <w:r w:rsidR="00433E8B" w:rsidRPr="00546BE9">
        <w:rPr>
          <w:rFonts w:ascii="Calibri" w:hAnsi="Calibri" w:cs="Calibri"/>
          <w:b/>
          <w:bCs/>
          <w:color w:val="B08200"/>
          <w:sz w:val="28"/>
          <w:szCs w:val="28"/>
        </w:rPr>
        <w:t>transações tributárias</w:t>
      </w:r>
      <w:bookmarkEnd w:id="11"/>
    </w:p>
    <w:p w14:paraId="6742325A" w14:textId="77777777" w:rsidR="00433E8B" w:rsidRPr="00546BE9" w:rsidRDefault="00433E8B" w:rsidP="00433E8B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19282A1" w14:textId="7348CEE5" w:rsidR="00433E8B" w:rsidRPr="000A4EDA" w:rsidRDefault="00433E8B" w:rsidP="00801D46">
      <w:pPr>
        <w:spacing w:after="0" w:line="240" w:lineRule="auto"/>
        <w:ind w:firstLine="351"/>
        <w:jc w:val="both"/>
        <w:rPr>
          <w:rFonts w:ascii="Calibri" w:hAnsi="Calibri" w:cs="Calibri"/>
          <w:spacing w:val="-2"/>
          <w:sz w:val="24"/>
          <w:szCs w:val="24"/>
        </w:rPr>
      </w:pPr>
      <w:r w:rsidRPr="000A4EDA">
        <w:rPr>
          <w:rFonts w:ascii="Calibri" w:hAnsi="Calibri" w:cs="Calibri"/>
          <w:spacing w:val="-2"/>
          <w:sz w:val="24"/>
          <w:szCs w:val="24"/>
        </w:rPr>
        <w:t xml:space="preserve">Em 05.03.026, decisão monocrática </w:t>
      </w:r>
      <w:r w:rsidR="000A4EDA" w:rsidRPr="000A4EDA">
        <w:rPr>
          <w:rFonts w:ascii="Calibri" w:hAnsi="Calibri" w:cs="Calibri"/>
          <w:spacing w:val="-2"/>
          <w:sz w:val="24"/>
          <w:szCs w:val="24"/>
        </w:rPr>
        <w:t>manteve liminar que afastou</w:t>
      </w:r>
      <w:r w:rsidRPr="000A4EDA">
        <w:rPr>
          <w:rFonts w:ascii="Calibri" w:hAnsi="Calibri" w:cs="Calibri"/>
          <w:spacing w:val="-2"/>
          <w:sz w:val="24"/>
          <w:szCs w:val="24"/>
        </w:rPr>
        <w:t xml:space="preserve"> restrições impostas pelo TCU quanto ao uso de créditos de prejuízo fiscal e base de cálculo negativa</w:t>
      </w:r>
      <w:r w:rsidR="000A4EDA" w:rsidRPr="000A4EDA">
        <w:rPr>
          <w:rFonts w:ascii="Calibri" w:hAnsi="Calibri" w:cs="Calibri"/>
          <w:spacing w:val="-2"/>
          <w:sz w:val="24"/>
          <w:szCs w:val="24"/>
        </w:rPr>
        <w:t xml:space="preserve"> da</w:t>
      </w:r>
      <w:r w:rsidRPr="000A4EDA">
        <w:rPr>
          <w:rFonts w:ascii="Calibri" w:hAnsi="Calibri" w:cs="Calibri"/>
          <w:spacing w:val="-2"/>
          <w:sz w:val="24"/>
          <w:szCs w:val="24"/>
        </w:rPr>
        <w:t xml:space="preserve"> CSL </w:t>
      </w:r>
      <w:r w:rsidR="000A4EDA" w:rsidRPr="000A4EDA">
        <w:rPr>
          <w:rFonts w:ascii="Calibri" w:hAnsi="Calibri" w:cs="Calibri"/>
          <w:spacing w:val="-2"/>
          <w:sz w:val="24"/>
          <w:szCs w:val="24"/>
        </w:rPr>
        <w:t xml:space="preserve">em transações fiscais </w:t>
      </w:r>
      <w:r w:rsidRPr="000A4EDA">
        <w:rPr>
          <w:rFonts w:ascii="Calibri" w:hAnsi="Calibri" w:cs="Calibri"/>
          <w:spacing w:val="-2"/>
          <w:sz w:val="24"/>
          <w:szCs w:val="24"/>
        </w:rPr>
        <w:t xml:space="preserve">(Processo 5001421-07.2026.4.03.0000). O Des. Fed. Luiz Alberto de Souza Ribeiro, da 6ª Turma do TRF-3, reconheceu a plausibilidade jurídica quanto à </w:t>
      </w:r>
      <w:r w:rsidR="000A4EDA" w:rsidRPr="000A4EDA">
        <w:rPr>
          <w:rFonts w:ascii="Calibri" w:hAnsi="Calibri" w:cs="Calibri"/>
          <w:spacing w:val="-2"/>
          <w:sz w:val="24"/>
          <w:szCs w:val="24"/>
        </w:rPr>
        <w:t xml:space="preserve">ilegalidade da </w:t>
      </w:r>
      <w:r w:rsidRPr="000A4EDA">
        <w:rPr>
          <w:rFonts w:ascii="Calibri" w:hAnsi="Calibri" w:cs="Calibri"/>
          <w:spacing w:val="-2"/>
          <w:sz w:val="24"/>
          <w:szCs w:val="24"/>
        </w:rPr>
        <w:t xml:space="preserve">interpretação restritiva realizada pelo TCU e a existência de </w:t>
      </w:r>
      <w:r w:rsidRPr="000A4EDA">
        <w:rPr>
          <w:rFonts w:ascii="Calibri" w:hAnsi="Calibri" w:cs="Calibri"/>
          <w:i/>
          <w:iCs/>
          <w:spacing w:val="-2"/>
          <w:sz w:val="24"/>
          <w:szCs w:val="24"/>
        </w:rPr>
        <w:t>periculum in mora</w:t>
      </w:r>
      <w:r w:rsidRPr="000A4EDA">
        <w:rPr>
          <w:rFonts w:ascii="Calibri" w:hAnsi="Calibri" w:cs="Calibri"/>
          <w:spacing w:val="-2"/>
          <w:sz w:val="24"/>
          <w:szCs w:val="24"/>
        </w:rPr>
        <w:t xml:space="preserve"> diante do risco de perda transação </w:t>
      </w:r>
      <w:r w:rsidR="000A4EDA">
        <w:rPr>
          <w:rFonts w:ascii="Calibri" w:hAnsi="Calibri" w:cs="Calibri"/>
          <w:spacing w:val="-2"/>
          <w:sz w:val="24"/>
          <w:szCs w:val="24"/>
        </w:rPr>
        <w:t>pleiteada pelo contribuinte</w:t>
      </w:r>
      <w:r w:rsidRPr="000A4EDA">
        <w:rPr>
          <w:rFonts w:ascii="Calibri" w:hAnsi="Calibri" w:cs="Calibri"/>
          <w:spacing w:val="-2"/>
          <w:sz w:val="24"/>
          <w:szCs w:val="24"/>
        </w:rPr>
        <w:t>.</w:t>
      </w:r>
    </w:p>
    <w:p w14:paraId="1CAA55D3" w14:textId="77777777" w:rsidR="00433E8B" w:rsidRPr="00546BE9" w:rsidRDefault="00433E8B" w:rsidP="00801D46">
      <w:pPr>
        <w:spacing w:after="0" w:line="240" w:lineRule="auto"/>
        <w:ind w:firstLine="351"/>
        <w:jc w:val="both"/>
        <w:rPr>
          <w:rFonts w:ascii="Calibri" w:hAnsi="Calibri" w:cs="Calibri"/>
          <w:sz w:val="24"/>
          <w:szCs w:val="24"/>
        </w:rPr>
      </w:pPr>
    </w:p>
    <w:p w14:paraId="4DAB3287" w14:textId="158629BC" w:rsidR="00433E8B" w:rsidRDefault="00433E8B" w:rsidP="00801D46">
      <w:pPr>
        <w:spacing w:after="0" w:line="240" w:lineRule="auto"/>
        <w:ind w:firstLine="351"/>
        <w:jc w:val="both"/>
        <w:rPr>
          <w:rFonts w:ascii="Calibri" w:hAnsi="Calibri" w:cs="Calibri"/>
          <w:sz w:val="24"/>
          <w:szCs w:val="24"/>
        </w:rPr>
      </w:pPr>
      <w:r w:rsidRPr="00546BE9">
        <w:rPr>
          <w:rFonts w:ascii="Calibri" w:hAnsi="Calibri" w:cs="Calibri"/>
          <w:sz w:val="24"/>
          <w:szCs w:val="24"/>
        </w:rPr>
        <w:t>O Tribunal de Contas da União (TCU), nos autos do processo de auditoria TC 007.099/2024-0 (Acórdão 2.670/2025)</w:t>
      </w:r>
      <w:r w:rsidR="00111FB3">
        <w:rPr>
          <w:rFonts w:ascii="Calibri" w:hAnsi="Calibri" w:cs="Calibri"/>
          <w:sz w:val="24"/>
          <w:szCs w:val="24"/>
        </w:rPr>
        <w:t xml:space="preserve"> – </w:t>
      </w:r>
      <w:r w:rsidRPr="00546BE9">
        <w:rPr>
          <w:rFonts w:ascii="Calibri" w:hAnsi="Calibri" w:cs="Calibri"/>
          <w:sz w:val="24"/>
          <w:szCs w:val="24"/>
        </w:rPr>
        <w:t>instaurado com</w:t>
      </w:r>
      <w:r w:rsidRPr="00131EDE">
        <w:rPr>
          <w:rFonts w:ascii="Calibri" w:hAnsi="Calibri" w:cs="Calibri"/>
          <w:sz w:val="24"/>
          <w:szCs w:val="24"/>
        </w:rPr>
        <w:t xml:space="preserve"> o objetivo de avaliar a transparência e a efetividade da transação tributária promovida pela PGFN e pela Receita Federal</w:t>
      </w:r>
      <w:r w:rsidR="00111FB3">
        <w:rPr>
          <w:rFonts w:ascii="Calibri" w:hAnsi="Calibri" w:cs="Calibri"/>
          <w:sz w:val="24"/>
          <w:szCs w:val="24"/>
        </w:rPr>
        <w:t xml:space="preserve"> – </w:t>
      </w:r>
      <w:r w:rsidRPr="00131EDE">
        <w:rPr>
          <w:rFonts w:ascii="Calibri" w:hAnsi="Calibri" w:cs="Calibri"/>
          <w:sz w:val="24"/>
          <w:szCs w:val="24"/>
        </w:rPr>
        <w:t xml:space="preserve">entendeu que a </w:t>
      </w:r>
      <w:r w:rsidR="000A4EDA">
        <w:rPr>
          <w:rFonts w:ascii="Calibri" w:hAnsi="Calibri" w:cs="Calibri"/>
          <w:sz w:val="24"/>
          <w:szCs w:val="24"/>
        </w:rPr>
        <w:t>utilização de</w:t>
      </w:r>
      <w:r w:rsidRPr="00131EDE">
        <w:rPr>
          <w:rFonts w:ascii="Calibri" w:hAnsi="Calibri" w:cs="Calibri"/>
          <w:sz w:val="24"/>
          <w:szCs w:val="24"/>
        </w:rPr>
        <w:t xml:space="preserve"> créditos de prejuízo fiscal e </w:t>
      </w:r>
      <w:r w:rsidRPr="00131EDE">
        <w:rPr>
          <w:rFonts w:ascii="Calibri" w:hAnsi="Calibri" w:cs="Calibri"/>
          <w:sz w:val="24"/>
          <w:szCs w:val="24"/>
        </w:rPr>
        <w:lastRenderedPageBreak/>
        <w:t xml:space="preserve">base de cálculo negativa deve ser considerada </w:t>
      </w:r>
      <w:r w:rsidR="000A4EDA">
        <w:rPr>
          <w:rFonts w:ascii="Calibri" w:hAnsi="Calibri" w:cs="Calibri"/>
          <w:sz w:val="24"/>
          <w:szCs w:val="24"/>
        </w:rPr>
        <w:t>como sendo parte do desconto</w:t>
      </w:r>
      <w:r w:rsidRPr="00131EDE">
        <w:rPr>
          <w:rFonts w:ascii="Calibri" w:hAnsi="Calibri" w:cs="Calibri"/>
          <w:sz w:val="24"/>
          <w:szCs w:val="24"/>
        </w:rPr>
        <w:t xml:space="preserve"> da dívida negociada</w:t>
      </w:r>
      <w:r w:rsidR="00724E4E">
        <w:rPr>
          <w:rFonts w:ascii="Calibri" w:hAnsi="Calibri" w:cs="Calibri"/>
          <w:sz w:val="24"/>
          <w:szCs w:val="24"/>
        </w:rPr>
        <w:t>. Note-se que a legislação de regência impõe limite de desconto de débitos transacionados, via de regra, de 65%.</w:t>
      </w:r>
    </w:p>
    <w:p w14:paraId="7BE660A6" w14:textId="77777777" w:rsidR="000A4EDA" w:rsidRDefault="000A4EDA" w:rsidP="00801D46">
      <w:pPr>
        <w:spacing w:after="0" w:line="240" w:lineRule="auto"/>
        <w:ind w:firstLine="351"/>
        <w:jc w:val="both"/>
        <w:rPr>
          <w:rFonts w:ascii="Calibri" w:hAnsi="Calibri" w:cs="Calibri"/>
          <w:sz w:val="24"/>
          <w:szCs w:val="24"/>
        </w:rPr>
      </w:pPr>
    </w:p>
    <w:p w14:paraId="0E6ABFA9" w14:textId="20B2B753" w:rsidR="00433E8B" w:rsidRDefault="000A4EDA" w:rsidP="00801D46">
      <w:pPr>
        <w:spacing w:after="0" w:line="240" w:lineRule="auto"/>
        <w:ind w:firstLine="351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Isso significa que, por exemplo, uma dívida que tenha obtido desconto de 50% em decorrência dos benefícios da transação só poderá ter 15% do valor quitado por meio de créditos de prejuízo fiscal e de base de cálculo negativa da CSL (50% + 15% = 65%). Ou seja, o desconto e a utilização de créditos de prejuízo e de base de cálculo negativa devem</w:t>
      </w:r>
      <w:r w:rsidR="00724E4E">
        <w:rPr>
          <w:rFonts w:ascii="Calibri" w:hAnsi="Calibri" w:cs="Calibri"/>
          <w:sz w:val="24"/>
          <w:szCs w:val="24"/>
        </w:rPr>
        <w:t>, de acordo com o TCU,</w:t>
      </w:r>
      <w:r>
        <w:rPr>
          <w:rFonts w:ascii="Calibri" w:hAnsi="Calibri" w:cs="Calibri"/>
          <w:sz w:val="24"/>
          <w:szCs w:val="24"/>
        </w:rPr>
        <w:t xml:space="preserve"> ser considerados em conjunto para fins do atingimento do limite redução do crédito negociado.</w:t>
      </w:r>
    </w:p>
    <w:p w14:paraId="57679C5E" w14:textId="77777777" w:rsidR="00AA55D0" w:rsidRDefault="00AA55D0" w:rsidP="00801D46">
      <w:pPr>
        <w:spacing w:after="0" w:line="240" w:lineRule="auto"/>
        <w:ind w:firstLine="351"/>
        <w:jc w:val="both"/>
        <w:rPr>
          <w:rFonts w:ascii="Calibri" w:hAnsi="Calibri" w:cs="Calibri"/>
          <w:sz w:val="24"/>
          <w:szCs w:val="24"/>
        </w:rPr>
      </w:pPr>
    </w:p>
    <w:p w14:paraId="0EB8A95A" w14:textId="7099BCD8" w:rsidR="00361747" w:rsidRDefault="00BD0EFD" w:rsidP="00BD0EFD">
      <w:pPr>
        <w:spacing w:after="0" w:line="240" w:lineRule="auto"/>
        <w:ind w:firstLine="351"/>
        <w:jc w:val="both"/>
        <w:rPr>
          <w:rFonts w:ascii="Calibri" w:hAnsi="Calibri" w:cs="Calibri"/>
          <w:sz w:val="24"/>
          <w:szCs w:val="24"/>
        </w:rPr>
      </w:pPr>
      <w:r w:rsidRPr="00BD0EFD">
        <w:rPr>
          <w:rFonts w:ascii="Calibri" w:hAnsi="Calibri" w:cs="Calibri"/>
          <w:sz w:val="24"/>
          <w:szCs w:val="24"/>
        </w:rPr>
        <w:t>Trata-se da primeira liminar de que se tem notícia a afastar a restrição imposta pelo TCU à celebração de transação fiscal.</w:t>
      </w:r>
    </w:p>
    <w:p w14:paraId="3F44B5C6" w14:textId="77777777" w:rsidR="00BD0EFD" w:rsidRDefault="00BD0EFD" w:rsidP="00BD0EFD">
      <w:pPr>
        <w:spacing w:after="0" w:line="240" w:lineRule="auto"/>
        <w:ind w:firstLine="351"/>
        <w:jc w:val="both"/>
        <w:rPr>
          <w:rFonts w:ascii="Calibri" w:eastAsia="Calibri" w:hAnsi="Calibri" w:cs="Calibri"/>
          <w:b/>
          <w:bCs/>
          <w:color w:val="B08200"/>
          <w:sz w:val="28"/>
          <w:szCs w:val="28"/>
        </w:rPr>
      </w:pPr>
    </w:p>
    <w:p w14:paraId="31591309" w14:textId="77777777" w:rsidR="00724E4E" w:rsidRPr="00361747" w:rsidRDefault="00724E4E" w:rsidP="00361747">
      <w:pPr>
        <w:spacing w:after="0" w:line="240" w:lineRule="auto"/>
        <w:jc w:val="both"/>
        <w:outlineLvl w:val="0"/>
        <w:rPr>
          <w:rFonts w:ascii="Calibri" w:eastAsia="Calibri" w:hAnsi="Calibri" w:cs="Calibri"/>
          <w:b/>
          <w:bCs/>
          <w:color w:val="B08200"/>
          <w:sz w:val="28"/>
          <w:szCs w:val="28"/>
        </w:rPr>
      </w:pPr>
    </w:p>
    <w:p w14:paraId="5D45976B" w14:textId="77777777" w:rsidR="00361747" w:rsidRPr="00361747" w:rsidRDefault="00361747" w:rsidP="00361747">
      <w:pPr>
        <w:numPr>
          <w:ilvl w:val="0"/>
          <w:numId w:val="3"/>
        </w:num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bCs/>
          <w:color w:val="B08200"/>
          <w:sz w:val="28"/>
          <w:szCs w:val="28"/>
        </w:rPr>
      </w:pPr>
      <w:bookmarkStart w:id="12" w:name="_Toc226551451"/>
      <w:r w:rsidRPr="00361747">
        <w:rPr>
          <w:rFonts w:ascii="Calibri" w:eastAsia="Calibri" w:hAnsi="Calibri" w:cs="Calibri"/>
          <w:b/>
          <w:bCs/>
          <w:color w:val="B08200"/>
          <w:sz w:val="28"/>
          <w:szCs w:val="28"/>
        </w:rPr>
        <w:t>MP que tributa exportação de petróleo tende a ser judicializada, avalia Gustavo Brigagão</w:t>
      </w:r>
      <w:bookmarkEnd w:id="12"/>
    </w:p>
    <w:p w14:paraId="51CEC6C7" w14:textId="77777777" w:rsidR="00361747" w:rsidRPr="00361747" w:rsidRDefault="00361747" w:rsidP="00361747">
      <w:pPr>
        <w:spacing w:after="0" w:line="240" w:lineRule="auto"/>
        <w:ind w:left="357" w:firstLine="351"/>
        <w:jc w:val="both"/>
        <w:rPr>
          <w:rFonts w:ascii="Calibri" w:eastAsia="Calibri" w:hAnsi="Calibri" w:cs="Calibri"/>
          <w:sz w:val="24"/>
          <w:szCs w:val="24"/>
        </w:rPr>
      </w:pPr>
    </w:p>
    <w:p w14:paraId="04AC9125" w14:textId="77777777" w:rsidR="00361747" w:rsidRPr="00361747" w:rsidRDefault="00361747" w:rsidP="00361747">
      <w:pPr>
        <w:spacing w:after="0" w:line="240" w:lineRule="auto"/>
        <w:ind w:left="357" w:firstLine="351"/>
        <w:jc w:val="both"/>
        <w:rPr>
          <w:rFonts w:ascii="Calibri" w:eastAsia="Calibri" w:hAnsi="Calibri" w:cs="Calibri"/>
          <w:sz w:val="24"/>
          <w:szCs w:val="24"/>
        </w:rPr>
      </w:pPr>
    </w:p>
    <w:p w14:paraId="6B48EB8A" w14:textId="56FBD58E" w:rsidR="00361747" w:rsidRPr="00361747" w:rsidRDefault="00361747" w:rsidP="00801D46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  <w:r w:rsidRPr="00361747">
        <w:rPr>
          <w:rFonts w:ascii="Calibri" w:eastAsia="Calibri" w:hAnsi="Calibri" w:cs="Calibri"/>
          <w:sz w:val="24"/>
          <w:szCs w:val="24"/>
        </w:rPr>
        <w:t>Em 12.03.2026, o governo federal anunciou um conjunto de medidas para reduzir o impacto da alta internacional do petróleo sobre os preços dos combustíveis no Brasil. Além do decreto que zerou as alíquotas de PIS/Cofins sobre a importação e a comercialização do óleo diesel, foi editada a Medida Provisória 1.340/2026, que institui uma subvenção ao diesel para produção e importação, e prevê a alíquota de 12% do Imposto de Exportação sobre o petróleo bruto.</w:t>
      </w:r>
    </w:p>
    <w:p w14:paraId="678108B0" w14:textId="77777777" w:rsidR="00361747" w:rsidRPr="00361747" w:rsidRDefault="00361747" w:rsidP="00801D46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</w:p>
    <w:p w14:paraId="4D1FBE0C" w14:textId="594BB9C2" w:rsidR="00361747" w:rsidRDefault="00111FB3" w:rsidP="00801D46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  <w:r w:rsidRPr="00111FB3">
        <w:rPr>
          <w:rFonts w:ascii="Calibri" w:eastAsia="Calibri" w:hAnsi="Calibri" w:cs="Calibri"/>
          <w:sz w:val="24"/>
          <w:szCs w:val="24"/>
        </w:rPr>
        <w:t xml:space="preserve">A MP 1.340/2026, que institui a incidência de Imposto de Exportação sobre o petróleo bruto, poderá ser objeto de questionamento judicial por parte das petroleiras. Segundo nosso sócio, Gustavo Brigagão, em entrevista concedida à Broadcast, há espaço para controvérsia quanto </w:t>
      </w:r>
      <w:r>
        <w:rPr>
          <w:rFonts w:ascii="Calibri" w:eastAsia="Calibri" w:hAnsi="Calibri" w:cs="Calibri"/>
          <w:sz w:val="24"/>
          <w:szCs w:val="24"/>
        </w:rPr>
        <w:t>a possível desvio de</w:t>
      </w:r>
      <w:r w:rsidRPr="00111FB3">
        <w:rPr>
          <w:rFonts w:ascii="Calibri" w:eastAsia="Calibri" w:hAnsi="Calibri" w:cs="Calibri"/>
          <w:sz w:val="24"/>
          <w:szCs w:val="24"/>
        </w:rPr>
        <w:t xml:space="preserve"> finalidade do tributo.</w:t>
      </w:r>
    </w:p>
    <w:p w14:paraId="4AF24CE1" w14:textId="77777777" w:rsidR="00111FB3" w:rsidRPr="00361747" w:rsidRDefault="00111FB3" w:rsidP="00801D46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</w:p>
    <w:p w14:paraId="55CAAB99" w14:textId="0FA846E6" w:rsidR="00361747" w:rsidRDefault="00111FB3" w:rsidP="00801D46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Segundo </w:t>
      </w:r>
      <w:r w:rsidR="00361747" w:rsidRPr="00361747">
        <w:rPr>
          <w:rFonts w:ascii="Calibri" w:eastAsia="Calibri" w:hAnsi="Calibri" w:cs="Calibri"/>
          <w:sz w:val="24"/>
          <w:szCs w:val="24"/>
        </w:rPr>
        <w:t>Brigagão</w:t>
      </w:r>
      <w:r>
        <w:rPr>
          <w:rFonts w:ascii="Calibri" w:eastAsia="Calibri" w:hAnsi="Calibri" w:cs="Calibri"/>
          <w:sz w:val="24"/>
          <w:szCs w:val="24"/>
        </w:rPr>
        <w:t>,</w:t>
      </w:r>
      <w:r w:rsidR="00361747" w:rsidRPr="00361747">
        <w:rPr>
          <w:rFonts w:ascii="Calibri" w:eastAsia="Calibri" w:hAnsi="Calibri" w:cs="Calibri"/>
          <w:sz w:val="24"/>
          <w:szCs w:val="24"/>
        </w:rPr>
        <w:t xml:space="preserve"> se trata de um tributo de natureza tipicamente extrafiscal e a Constituição prevê </w:t>
      </w:r>
      <w:r w:rsidRPr="00361747">
        <w:rPr>
          <w:rFonts w:ascii="Calibri" w:eastAsia="Calibri" w:hAnsi="Calibri" w:cs="Calibri"/>
          <w:sz w:val="24"/>
          <w:szCs w:val="24"/>
        </w:rPr>
        <w:t>um</w:t>
      </w:r>
      <w:r>
        <w:rPr>
          <w:rFonts w:ascii="Calibri" w:eastAsia="Calibri" w:hAnsi="Calibri" w:cs="Calibri"/>
          <w:sz w:val="24"/>
          <w:szCs w:val="24"/>
        </w:rPr>
        <w:t>a flexibilidade maior</w:t>
      </w:r>
      <w:r w:rsidR="00361747" w:rsidRPr="00361747">
        <w:rPr>
          <w:rFonts w:ascii="Calibri" w:eastAsia="Calibri" w:hAnsi="Calibri" w:cs="Calibri"/>
          <w:sz w:val="24"/>
          <w:szCs w:val="24"/>
        </w:rPr>
        <w:t xml:space="preserve"> para que </w:t>
      </w:r>
      <w:r>
        <w:rPr>
          <w:rFonts w:ascii="Calibri" w:eastAsia="Calibri" w:hAnsi="Calibri" w:cs="Calibri"/>
          <w:sz w:val="24"/>
          <w:szCs w:val="24"/>
        </w:rPr>
        <w:t xml:space="preserve">esse tipo de tributo seja </w:t>
      </w:r>
      <w:r w:rsidR="00361747" w:rsidRPr="00361747">
        <w:rPr>
          <w:rFonts w:ascii="Calibri" w:eastAsia="Calibri" w:hAnsi="Calibri" w:cs="Calibri"/>
          <w:sz w:val="24"/>
          <w:szCs w:val="24"/>
        </w:rPr>
        <w:t xml:space="preserve">utilizado em situações de crise econômica. Para ele, a judicialização da nova MP é um cenário provável. </w:t>
      </w:r>
    </w:p>
    <w:p w14:paraId="5B186791" w14:textId="77777777" w:rsidR="00361747" w:rsidRPr="00361747" w:rsidRDefault="00361747" w:rsidP="00361747">
      <w:pPr>
        <w:spacing w:after="0" w:line="240" w:lineRule="auto"/>
        <w:jc w:val="both"/>
        <w:outlineLvl w:val="0"/>
        <w:rPr>
          <w:rFonts w:ascii="Calibri" w:eastAsia="Calibri" w:hAnsi="Calibri" w:cs="Arial"/>
        </w:rPr>
      </w:pPr>
    </w:p>
    <w:p w14:paraId="524A050F" w14:textId="77777777" w:rsidR="00361747" w:rsidRDefault="00361747" w:rsidP="00361747">
      <w:pPr>
        <w:spacing w:after="0" w:line="240" w:lineRule="auto"/>
        <w:jc w:val="both"/>
        <w:outlineLvl w:val="0"/>
        <w:rPr>
          <w:rFonts w:ascii="Calibri" w:eastAsia="Calibri" w:hAnsi="Calibri" w:cs="Calibri"/>
          <w:b/>
          <w:bCs/>
          <w:color w:val="B08200"/>
          <w:sz w:val="28"/>
          <w:szCs w:val="28"/>
        </w:rPr>
      </w:pPr>
    </w:p>
    <w:p w14:paraId="109B14F8" w14:textId="77777777" w:rsidR="004669A7" w:rsidRDefault="004669A7" w:rsidP="00361747">
      <w:pPr>
        <w:spacing w:after="0" w:line="240" w:lineRule="auto"/>
        <w:jc w:val="both"/>
        <w:outlineLvl w:val="0"/>
        <w:rPr>
          <w:rFonts w:ascii="Calibri" w:eastAsia="Calibri" w:hAnsi="Calibri" w:cs="Calibri"/>
          <w:b/>
          <w:bCs/>
          <w:color w:val="B08200"/>
          <w:sz w:val="28"/>
          <w:szCs w:val="28"/>
        </w:rPr>
      </w:pPr>
    </w:p>
    <w:p w14:paraId="7C47AF65" w14:textId="77777777" w:rsidR="004669A7" w:rsidRPr="00361747" w:rsidRDefault="004669A7" w:rsidP="00361747">
      <w:pPr>
        <w:spacing w:after="0" w:line="240" w:lineRule="auto"/>
        <w:jc w:val="both"/>
        <w:outlineLvl w:val="0"/>
        <w:rPr>
          <w:rFonts w:ascii="Calibri" w:eastAsia="Calibri" w:hAnsi="Calibri" w:cs="Calibri"/>
          <w:b/>
          <w:bCs/>
          <w:color w:val="B08200"/>
          <w:sz w:val="28"/>
          <w:szCs w:val="28"/>
        </w:rPr>
      </w:pPr>
    </w:p>
    <w:p w14:paraId="7CB0F30D" w14:textId="7B725239" w:rsidR="00361747" w:rsidRPr="00361747" w:rsidRDefault="00361747" w:rsidP="00361747">
      <w:pPr>
        <w:numPr>
          <w:ilvl w:val="0"/>
          <w:numId w:val="3"/>
        </w:num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bCs/>
          <w:color w:val="B08200"/>
          <w:sz w:val="28"/>
          <w:szCs w:val="28"/>
        </w:rPr>
      </w:pPr>
      <w:bookmarkStart w:id="13" w:name="_Toc226551452"/>
      <w:r w:rsidRPr="00361747">
        <w:rPr>
          <w:rFonts w:ascii="Calibri" w:eastAsia="Calibri" w:hAnsi="Calibri" w:cs="Calibri"/>
          <w:b/>
          <w:bCs/>
          <w:color w:val="B08200"/>
          <w:sz w:val="28"/>
          <w:szCs w:val="28"/>
        </w:rPr>
        <w:lastRenderedPageBreak/>
        <w:t xml:space="preserve">Justiça </w:t>
      </w:r>
      <w:r w:rsidR="00CB262D">
        <w:rPr>
          <w:rFonts w:ascii="Calibri" w:eastAsia="Calibri" w:hAnsi="Calibri" w:cs="Calibri"/>
          <w:b/>
          <w:bCs/>
          <w:color w:val="B08200"/>
          <w:sz w:val="28"/>
          <w:szCs w:val="28"/>
        </w:rPr>
        <w:t>admite apropriação de créditos de</w:t>
      </w:r>
      <w:r w:rsidRPr="00361747">
        <w:rPr>
          <w:rFonts w:ascii="Calibri" w:eastAsia="Calibri" w:hAnsi="Calibri" w:cs="Calibri"/>
          <w:b/>
          <w:bCs/>
          <w:color w:val="B08200"/>
          <w:sz w:val="28"/>
          <w:szCs w:val="28"/>
        </w:rPr>
        <w:t xml:space="preserve"> P</w:t>
      </w:r>
      <w:r w:rsidR="00CB262D">
        <w:rPr>
          <w:rFonts w:ascii="Calibri" w:eastAsia="Calibri" w:hAnsi="Calibri" w:cs="Calibri"/>
          <w:b/>
          <w:bCs/>
          <w:color w:val="B08200"/>
          <w:sz w:val="28"/>
          <w:szCs w:val="28"/>
        </w:rPr>
        <w:t>IS</w:t>
      </w:r>
      <w:r w:rsidRPr="00361747">
        <w:rPr>
          <w:rFonts w:ascii="Calibri" w:eastAsia="Calibri" w:hAnsi="Calibri" w:cs="Calibri"/>
          <w:b/>
          <w:bCs/>
          <w:color w:val="B08200"/>
          <w:sz w:val="28"/>
          <w:szCs w:val="28"/>
        </w:rPr>
        <w:t>/Cofins</w:t>
      </w:r>
      <w:r w:rsidR="00CB262D">
        <w:rPr>
          <w:rFonts w:ascii="Calibri" w:eastAsia="Calibri" w:hAnsi="Calibri" w:cs="Calibri"/>
          <w:b/>
          <w:bCs/>
          <w:color w:val="B08200"/>
          <w:sz w:val="28"/>
          <w:szCs w:val="28"/>
        </w:rPr>
        <w:t xml:space="preserve"> sobre despesas com pessoal previstas em acordo coletivo de trabalho</w:t>
      </w:r>
      <w:bookmarkEnd w:id="13"/>
    </w:p>
    <w:p w14:paraId="2B693B6D" w14:textId="77777777" w:rsidR="00361747" w:rsidRPr="00361747" w:rsidRDefault="00361747" w:rsidP="00361747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F198841" w14:textId="0242D3BB" w:rsidR="00361747" w:rsidRPr="00361747" w:rsidRDefault="00361747" w:rsidP="00801D46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  <w:r w:rsidRPr="00361747">
        <w:rPr>
          <w:rFonts w:ascii="Calibri" w:eastAsia="Calibri" w:hAnsi="Calibri" w:cs="Calibri"/>
          <w:sz w:val="24"/>
          <w:szCs w:val="24"/>
        </w:rPr>
        <w:t>A Justiça Federal do Rio de Janeiro concedeu liminar para permitir o aproveitamento de créditos de PIS/Cofins sobre despesas com pessoal decorrentes de obrigações previstas em acordos coletivos de trabalho</w:t>
      </w:r>
      <w:r w:rsidR="00CB262D">
        <w:rPr>
          <w:rFonts w:ascii="Calibri" w:eastAsia="Calibri" w:hAnsi="Calibri" w:cs="Calibri"/>
          <w:sz w:val="24"/>
          <w:szCs w:val="24"/>
        </w:rPr>
        <w:t xml:space="preserve"> </w:t>
      </w:r>
      <w:r w:rsidR="00CB262D" w:rsidRPr="004F0AD7">
        <w:rPr>
          <w:rFonts w:ascii="Calibri" w:eastAsia="Calibri" w:hAnsi="Calibri" w:cs="Calibri"/>
          <w:sz w:val="24"/>
          <w:szCs w:val="24"/>
        </w:rPr>
        <w:t>(Mandado de Segurança 5004629-49.2026.4.02.5101)</w:t>
      </w:r>
      <w:r w:rsidRPr="00361747">
        <w:rPr>
          <w:rFonts w:ascii="Calibri" w:eastAsia="Calibri" w:hAnsi="Calibri" w:cs="Calibri"/>
          <w:sz w:val="24"/>
          <w:szCs w:val="24"/>
        </w:rPr>
        <w:t xml:space="preserve">. </w:t>
      </w:r>
    </w:p>
    <w:p w14:paraId="118D26A5" w14:textId="77777777" w:rsidR="00361747" w:rsidRPr="00361747" w:rsidRDefault="00361747" w:rsidP="00801D46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</w:p>
    <w:p w14:paraId="26BE48EA" w14:textId="4E03D921" w:rsidR="00BF638B" w:rsidRDefault="00361747" w:rsidP="00801D46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  <w:r w:rsidRPr="00361747">
        <w:rPr>
          <w:rFonts w:ascii="Calibri" w:eastAsia="Calibri" w:hAnsi="Calibri" w:cs="Calibri"/>
          <w:sz w:val="24"/>
          <w:szCs w:val="24"/>
        </w:rPr>
        <w:t>No caso, a empresa Cinemas São Luiz impetrou mandado de segurança para assegurar o direito de aproveitar créditos de PIS/Cofins relativos a despesas com benefícios como alimentação, vestimenta e plano de saúde de funcionários</w:t>
      </w:r>
      <w:r w:rsidR="00BF638B">
        <w:rPr>
          <w:rFonts w:ascii="Calibri" w:eastAsia="Calibri" w:hAnsi="Calibri" w:cs="Calibri"/>
          <w:sz w:val="24"/>
          <w:szCs w:val="24"/>
        </w:rPr>
        <w:t>, por considerar que essas despesas são necessárias à sua atividade produtiva, principalmente por terem sido impostas por negociação coletiva de trabalho</w:t>
      </w:r>
      <w:r w:rsidRPr="00361747">
        <w:rPr>
          <w:rFonts w:ascii="Calibri" w:eastAsia="Calibri" w:hAnsi="Calibri" w:cs="Calibri"/>
          <w:sz w:val="24"/>
          <w:szCs w:val="24"/>
        </w:rPr>
        <w:t xml:space="preserve">. </w:t>
      </w:r>
    </w:p>
    <w:p w14:paraId="5B8DD782" w14:textId="77777777" w:rsidR="00361747" w:rsidRPr="00361747" w:rsidRDefault="00361747" w:rsidP="00801D46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</w:p>
    <w:p w14:paraId="6B9186D7" w14:textId="683B133A" w:rsidR="00361747" w:rsidRPr="00361747" w:rsidRDefault="00BF638B" w:rsidP="00801D46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</w:t>
      </w:r>
      <w:r w:rsidR="00361747" w:rsidRPr="00361747">
        <w:rPr>
          <w:rFonts w:ascii="Calibri" w:eastAsia="Calibri" w:hAnsi="Calibri" w:cs="Calibri"/>
          <w:sz w:val="24"/>
          <w:szCs w:val="24"/>
        </w:rPr>
        <w:t xml:space="preserve"> juiz Togo Paulo Penna Ricci, da 1ª Vara Federal do Rio de Janeiro, </w:t>
      </w:r>
      <w:r>
        <w:rPr>
          <w:rFonts w:ascii="Calibri" w:eastAsia="Calibri" w:hAnsi="Calibri" w:cs="Calibri"/>
          <w:sz w:val="24"/>
          <w:szCs w:val="24"/>
        </w:rPr>
        <w:t xml:space="preserve">deu razão ao contribuinte. Para o magistrado, </w:t>
      </w:r>
      <w:r w:rsidR="00361747" w:rsidRPr="00361747">
        <w:rPr>
          <w:rFonts w:ascii="Calibri" w:eastAsia="Calibri" w:hAnsi="Calibri" w:cs="Calibri"/>
          <w:sz w:val="24"/>
          <w:szCs w:val="24"/>
        </w:rPr>
        <w:t xml:space="preserve">os benefícios concedidos pela empresa decorrem de normas coletivas com força </w:t>
      </w:r>
      <w:r w:rsidR="00CB262D">
        <w:rPr>
          <w:rFonts w:ascii="Calibri" w:eastAsia="Calibri" w:hAnsi="Calibri" w:cs="Calibri"/>
          <w:sz w:val="24"/>
          <w:szCs w:val="24"/>
        </w:rPr>
        <w:t>cogente</w:t>
      </w:r>
      <w:r w:rsidR="00361747" w:rsidRPr="00361747">
        <w:rPr>
          <w:rFonts w:ascii="Calibri" w:eastAsia="Calibri" w:hAnsi="Calibri" w:cs="Calibri"/>
          <w:sz w:val="24"/>
          <w:szCs w:val="24"/>
        </w:rPr>
        <w:t>, nos termos do artigo 7º da Constituição Federal, não se tratando de liberalidade do empregador.</w:t>
      </w:r>
    </w:p>
    <w:p w14:paraId="48EEE688" w14:textId="77777777" w:rsidR="00361747" w:rsidRPr="00361747" w:rsidRDefault="00361747" w:rsidP="00801D46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00ED623" w14:textId="5D4D1C47" w:rsidR="00361747" w:rsidRPr="00361747" w:rsidRDefault="00CB262D" w:rsidP="00801D46">
      <w:pPr>
        <w:spacing w:after="0" w:line="240" w:lineRule="auto"/>
        <w:ind w:firstLine="351"/>
        <w:jc w:val="both"/>
        <w:rPr>
          <w:rFonts w:ascii="Calibri" w:eastAsia="Calibri" w:hAnsi="Calibri" w:cs="Calibri"/>
          <w:sz w:val="24"/>
          <w:szCs w:val="24"/>
        </w:rPr>
      </w:pPr>
      <w:r w:rsidRPr="00CB262D">
        <w:rPr>
          <w:rFonts w:ascii="Calibri" w:eastAsia="Calibri" w:hAnsi="Calibri" w:cs="Calibri"/>
          <w:sz w:val="24"/>
          <w:szCs w:val="24"/>
        </w:rPr>
        <w:t>Em participação em matéria do Valor Econômico</w:t>
      </w:r>
      <w:r>
        <w:rPr>
          <w:rStyle w:val="Refdenotaderodap"/>
          <w:rFonts w:ascii="Calibri" w:eastAsia="Calibri" w:hAnsi="Calibri" w:cs="Calibri"/>
          <w:sz w:val="24"/>
          <w:szCs w:val="24"/>
        </w:rPr>
        <w:footnoteReference w:id="3"/>
      </w:r>
      <w:r w:rsidRPr="00CB262D">
        <w:rPr>
          <w:rFonts w:ascii="Calibri" w:eastAsia="Calibri" w:hAnsi="Calibri" w:cs="Calibri"/>
          <w:sz w:val="24"/>
          <w:szCs w:val="24"/>
        </w:rPr>
        <w:t>, Pedro Grillo, sócio do Brigagão Duque Estrada Advogados, destaca que a decisão evidencia a ausência de definição jurisprudencial sobre o tema, mantendo-se espaço para sua discussão. Segundo ele, a liminar concedida é considerada incomum, sobretudo porque a jurisprudência dos Tribunais Regionais Federais vem se consolidando de forma desfavorável a essa tese</w:t>
      </w:r>
      <w:r w:rsidR="00361747" w:rsidRPr="00361747">
        <w:rPr>
          <w:rFonts w:ascii="Calibri" w:eastAsia="Calibri" w:hAnsi="Calibri" w:cs="Calibri"/>
          <w:sz w:val="24"/>
          <w:szCs w:val="24"/>
        </w:rPr>
        <w:t>.</w:t>
      </w:r>
    </w:p>
    <w:p w14:paraId="127B4F18" w14:textId="77777777" w:rsidR="007F2F8B" w:rsidRDefault="007F2F8B" w:rsidP="004F0AD7">
      <w:pPr>
        <w:spacing w:after="0" w:line="256" w:lineRule="auto"/>
        <w:ind w:left="357" w:firstLine="351"/>
        <w:jc w:val="both"/>
        <w:rPr>
          <w:rFonts w:ascii="Calibri" w:eastAsia="Calibri" w:hAnsi="Calibri" w:cs="Calibri"/>
          <w:sz w:val="24"/>
          <w:szCs w:val="24"/>
        </w:rPr>
      </w:pPr>
    </w:p>
    <w:p w14:paraId="24A60D96" w14:textId="77777777" w:rsidR="00CB262D" w:rsidRDefault="00CB262D" w:rsidP="004F0AD7">
      <w:pPr>
        <w:spacing w:after="0" w:line="256" w:lineRule="auto"/>
        <w:ind w:left="357" w:firstLine="351"/>
        <w:jc w:val="both"/>
        <w:rPr>
          <w:rFonts w:ascii="Calibri" w:eastAsia="Calibri" w:hAnsi="Calibri" w:cs="Calibri"/>
          <w:sz w:val="24"/>
          <w:szCs w:val="24"/>
        </w:rPr>
      </w:pPr>
    </w:p>
    <w:p w14:paraId="790C255F" w14:textId="77777777" w:rsidR="007F2F8B" w:rsidRPr="00E46F3D" w:rsidRDefault="007F2F8B" w:rsidP="007F2F8B">
      <w:pPr>
        <w:pStyle w:val="PargrafodaLista"/>
        <w:numPr>
          <w:ilvl w:val="0"/>
          <w:numId w:val="1"/>
        </w:numPr>
        <w:spacing w:after="0" w:line="240" w:lineRule="auto"/>
        <w:ind w:left="357" w:hanging="357"/>
        <w:contextualSpacing w:val="0"/>
        <w:jc w:val="both"/>
        <w:outlineLvl w:val="0"/>
        <w:rPr>
          <w:rFonts w:ascii="Calibri" w:hAnsi="Calibri" w:cs="Calibri"/>
          <w:sz w:val="24"/>
          <w:szCs w:val="24"/>
        </w:rPr>
      </w:pPr>
      <w:bookmarkStart w:id="14" w:name="_Toc226551453"/>
      <w:r w:rsidRPr="00E46F3D">
        <w:rPr>
          <w:rFonts w:ascii="Calibri" w:hAnsi="Calibri" w:cs="Calibri"/>
          <w:b/>
          <w:bCs/>
          <w:color w:val="B08200"/>
          <w:sz w:val="28"/>
          <w:szCs w:val="28"/>
        </w:rPr>
        <w:t>Governo Federal institui pacote tributário para o setor de combustíveis</w:t>
      </w:r>
      <w:bookmarkEnd w:id="14"/>
    </w:p>
    <w:p w14:paraId="62029FED" w14:textId="77777777" w:rsidR="007F2F8B" w:rsidRPr="00E46F3D" w:rsidRDefault="007F2F8B" w:rsidP="007F2F8B">
      <w:pPr>
        <w:pStyle w:val="PargrafodaLista"/>
        <w:spacing w:after="0" w:line="240" w:lineRule="auto"/>
        <w:ind w:left="357"/>
        <w:contextualSpacing w:val="0"/>
        <w:jc w:val="both"/>
        <w:outlineLvl w:val="0"/>
        <w:rPr>
          <w:rFonts w:ascii="Calibri" w:hAnsi="Calibri" w:cs="Calibri"/>
          <w:sz w:val="24"/>
          <w:szCs w:val="24"/>
        </w:rPr>
      </w:pPr>
    </w:p>
    <w:p w14:paraId="19BE2F07" w14:textId="387B45E8" w:rsidR="007F2F8B" w:rsidRPr="00E46F3D" w:rsidRDefault="007F2F8B" w:rsidP="00801D46">
      <w:pPr>
        <w:spacing w:after="0" w:line="240" w:lineRule="auto"/>
        <w:ind w:firstLine="351"/>
        <w:jc w:val="both"/>
        <w:rPr>
          <w:rFonts w:ascii="Calibri" w:hAnsi="Calibri" w:cs="Calibri"/>
          <w:sz w:val="24"/>
          <w:szCs w:val="24"/>
        </w:rPr>
      </w:pPr>
      <w:r w:rsidRPr="00E46F3D">
        <w:rPr>
          <w:rFonts w:ascii="Calibri" w:hAnsi="Calibri" w:cs="Calibri"/>
          <w:sz w:val="24"/>
          <w:szCs w:val="24"/>
        </w:rPr>
        <w:t>Em 12.03.2026, o Governo Federal anunciou um pacote de medidas tributárias e</w:t>
      </w:r>
      <w:r w:rsidR="00882F25">
        <w:rPr>
          <w:rFonts w:ascii="Calibri" w:hAnsi="Calibri" w:cs="Calibri"/>
          <w:sz w:val="24"/>
          <w:szCs w:val="24"/>
        </w:rPr>
        <w:t xml:space="preserve"> de in</w:t>
      </w:r>
      <w:r w:rsidR="00DF04BD" w:rsidRPr="004669A7">
        <w:rPr>
          <w:rFonts w:ascii="Calibri" w:hAnsi="Calibri" w:cs="Calibri"/>
          <w:sz w:val="24"/>
          <w:szCs w:val="24"/>
        </w:rPr>
        <w:t>c</w:t>
      </w:r>
      <w:r w:rsidR="00882F25">
        <w:rPr>
          <w:rFonts w:ascii="Calibri" w:hAnsi="Calibri" w:cs="Calibri"/>
          <w:sz w:val="24"/>
          <w:szCs w:val="24"/>
        </w:rPr>
        <w:t>entivos econômicos</w:t>
      </w:r>
      <w:r w:rsidRPr="00E46F3D">
        <w:rPr>
          <w:rFonts w:ascii="Calibri" w:hAnsi="Calibri" w:cs="Calibri"/>
          <w:sz w:val="24"/>
          <w:szCs w:val="24"/>
        </w:rPr>
        <w:t xml:space="preserve"> voltad</w:t>
      </w:r>
      <w:r w:rsidR="00882F25">
        <w:rPr>
          <w:rFonts w:ascii="Calibri" w:hAnsi="Calibri" w:cs="Calibri"/>
          <w:sz w:val="24"/>
          <w:szCs w:val="24"/>
        </w:rPr>
        <w:t>o</w:t>
      </w:r>
      <w:r w:rsidRPr="00E46F3D">
        <w:rPr>
          <w:rFonts w:ascii="Calibri" w:hAnsi="Calibri" w:cs="Calibri"/>
          <w:sz w:val="24"/>
          <w:szCs w:val="24"/>
        </w:rPr>
        <w:t>s ao setor de combustíveis, por meio da Medida Provisóri</w:t>
      </w:r>
      <w:r>
        <w:rPr>
          <w:rFonts w:ascii="Calibri" w:hAnsi="Calibri" w:cs="Calibri"/>
          <w:sz w:val="24"/>
          <w:szCs w:val="24"/>
        </w:rPr>
        <w:t>a</w:t>
      </w:r>
      <w:r w:rsidRPr="00E46F3D">
        <w:rPr>
          <w:rFonts w:ascii="Calibri" w:hAnsi="Calibri" w:cs="Calibri"/>
          <w:sz w:val="24"/>
          <w:szCs w:val="24"/>
        </w:rPr>
        <w:t xml:space="preserve"> 1.340/2026 e dos Decretos 12.875/2026, 12.876/2026 e 12.878/2026</w:t>
      </w:r>
      <w:r w:rsidR="00882F25">
        <w:rPr>
          <w:rFonts w:ascii="Calibri" w:hAnsi="Calibri" w:cs="Calibri"/>
          <w:sz w:val="24"/>
          <w:szCs w:val="24"/>
        </w:rPr>
        <w:t>. As referidas normas</w:t>
      </w:r>
      <w:r w:rsidRPr="00E46F3D">
        <w:rPr>
          <w:rFonts w:ascii="Calibri" w:hAnsi="Calibri" w:cs="Calibri"/>
          <w:sz w:val="24"/>
          <w:szCs w:val="24"/>
        </w:rPr>
        <w:t>:</w:t>
      </w:r>
    </w:p>
    <w:p w14:paraId="301ED08C" w14:textId="77777777" w:rsidR="007F2F8B" w:rsidRPr="00E46F3D" w:rsidRDefault="007F2F8B" w:rsidP="00801D46">
      <w:pPr>
        <w:spacing w:after="0" w:line="240" w:lineRule="auto"/>
        <w:ind w:firstLine="351"/>
        <w:jc w:val="both"/>
        <w:rPr>
          <w:rFonts w:ascii="Calibri" w:hAnsi="Calibri" w:cs="Calibri"/>
          <w:sz w:val="24"/>
          <w:szCs w:val="24"/>
        </w:rPr>
      </w:pPr>
    </w:p>
    <w:p w14:paraId="29335CC2" w14:textId="77777777" w:rsidR="007F2F8B" w:rsidRPr="00E46F3D" w:rsidRDefault="007F2F8B" w:rsidP="000F676D">
      <w:pPr>
        <w:spacing w:after="0" w:line="240" w:lineRule="auto"/>
        <w:ind w:left="351"/>
        <w:jc w:val="both"/>
        <w:rPr>
          <w:rFonts w:ascii="Calibri" w:hAnsi="Calibri" w:cs="Calibri"/>
          <w:sz w:val="24"/>
          <w:szCs w:val="24"/>
        </w:rPr>
      </w:pPr>
      <w:r w:rsidRPr="00E46F3D">
        <w:rPr>
          <w:rFonts w:ascii="Calibri" w:hAnsi="Calibri" w:cs="Calibri"/>
          <w:b/>
          <w:bCs/>
          <w:sz w:val="24"/>
          <w:szCs w:val="24"/>
        </w:rPr>
        <w:t>(i)</w:t>
      </w:r>
      <w:r w:rsidRPr="00E46F3D">
        <w:rPr>
          <w:rFonts w:ascii="Calibri" w:hAnsi="Calibri" w:cs="Calibri"/>
          <w:sz w:val="24"/>
          <w:szCs w:val="24"/>
        </w:rPr>
        <w:t xml:space="preserve"> zeram a alíquota de PIS/COFINS incidentes sobre o óleo diesel até 31.05.2026, o que representa uma redução estimada de R$ 0,32 por litro, segundo o Governo;</w:t>
      </w:r>
    </w:p>
    <w:p w14:paraId="327A4669" w14:textId="77777777" w:rsidR="007F2F8B" w:rsidRPr="00E46F3D" w:rsidRDefault="007F2F8B" w:rsidP="000F676D">
      <w:pPr>
        <w:spacing w:after="0" w:line="240" w:lineRule="auto"/>
        <w:ind w:left="351"/>
        <w:jc w:val="both"/>
        <w:rPr>
          <w:rFonts w:ascii="Calibri" w:hAnsi="Calibri" w:cs="Calibri"/>
          <w:sz w:val="24"/>
          <w:szCs w:val="24"/>
        </w:rPr>
      </w:pPr>
    </w:p>
    <w:p w14:paraId="17EBEC02" w14:textId="62E473A3" w:rsidR="007F2F8B" w:rsidRPr="00E46F3D" w:rsidRDefault="007F2F8B" w:rsidP="000F676D">
      <w:pPr>
        <w:spacing w:after="0" w:line="240" w:lineRule="auto"/>
        <w:ind w:left="351"/>
        <w:jc w:val="both"/>
        <w:rPr>
          <w:rFonts w:ascii="Calibri" w:hAnsi="Calibri" w:cs="Calibri"/>
          <w:sz w:val="24"/>
          <w:szCs w:val="24"/>
        </w:rPr>
      </w:pPr>
      <w:r w:rsidRPr="00E46F3D">
        <w:rPr>
          <w:rFonts w:ascii="Calibri" w:hAnsi="Calibri" w:cs="Calibri"/>
          <w:b/>
          <w:bCs/>
          <w:sz w:val="24"/>
          <w:szCs w:val="24"/>
        </w:rPr>
        <w:lastRenderedPageBreak/>
        <w:t>(ii)</w:t>
      </w:r>
      <w:r w:rsidRPr="00E46F3D">
        <w:rPr>
          <w:rFonts w:ascii="Calibri" w:hAnsi="Calibri" w:cs="Calibri"/>
          <w:sz w:val="24"/>
          <w:szCs w:val="24"/>
        </w:rPr>
        <w:t xml:space="preserve"> preveem o pagamento de subvenção econômica a produtores e importadores de diesel, no valor de R$ 0,32 por litro, válida até 31.12.2026</w:t>
      </w:r>
      <w:r>
        <w:rPr>
          <w:rFonts w:ascii="Calibri" w:hAnsi="Calibri" w:cs="Calibri"/>
          <w:sz w:val="24"/>
          <w:szCs w:val="24"/>
        </w:rPr>
        <w:t xml:space="preserve"> ou </w:t>
      </w:r>
      <w:r w:rsidRPr="00E46F3D">
        <w:rPr>
          <w:rFonts w:ascii="Calibri" w:hAnsi="Calibri" w:cs="Calibri"/>
          <w:sz w:val="24"/>
          <w:szCs w:val="24"/>
        </w:rPr>
        <w:t>limitada a um impacto total de R$ 10 bilhões aos cofres públicos, o que ocorrer primeiro</w:t>
      </w:r>
      <w:r w:rsidR="00882F25">
        <w:rPr>
          <w:rFonts w:ascii="Calibri" w:hAnsi="Calibri" w:cs="Calibri"/>
          <w:sz w:val="24"/>
          <w:szCs w:val="24"/>
        </w:rPr>
        <w:t>;</w:t>
      </w:r>
    </w:p>
    <w:p w14:paraId="50C9D59A" w14:textId="77777777" w:rsidR="007F2F8B" w:rsidRPr="00E46F3D" w:rsidRDefault="007F2F8B" w:rsidP="000F676D">
      <w:pPr>
        <w:spacing w:after="0" w:line="240" w:lineRule="auto"/>
        <w:ind w:left="351"/>
        <w:jc w:val="both"/>
        <w:rPr>
          <w:rFonts w:ascii="Calibri" w:hAnsi="Calibri" w:cs="Calibri"/>
          <w:sz w:val="24"/>
          <w:szCs w:val="24"/>
        </w:rPr>
      </w:pPr>
    </w:p>
    <w:p w14:paraId="6A145CB8" w14:textId="2F387306" w:rsidR="007F2F8B" w:rsidRPr="00E46F3D" w:rsidRDefault="007F2F8B" w:rsidP="000F676D">
      <w:pPr>
        <w:spacing w:after="0" w:line="240" w:lineRule="auto"/>
        <w:ind w:left="351"/>
        <w:jc w:val="both"/>
        <w:rPr>
          <w:rFonts w:ascii="Calibri" w:hAnsi="Calibri" w:cs="Calibri"/>
          <w:sz w:val="24"/>
          <w:szCs w:val="24"/>
        </w:rPr>
      </w:pPr>
      <w:r w:rsidRPr="00E46F3D">
        <w:rPr>
          <w:rFonts w:ascii="Calibri" w:hAnsi="Calibri" w:cs="Calibri"/>
          <w:b/>
          <w:bCs/>
          <w:sz w:val="24"/>
          <w:szCs w:val="24"/>
        </w:rPr>
        <w:t>(iii)</w:t>
      </w:r>
      <w:r w:rsidRPr="00E46F3D">
        <w:rPr>
          <w:rFonts w:ascii="Calibri" w:hAnsi="Calibri" w:cs="Calibri"/>
          <w:sz w:val="24"/>
          <w:szCs w:val="24"/>
        </w:rPr>
        <w:t xml:space="preserve"> instituem Imposto de Exportação (IE) sobre o petróleo bruto, à alíquota de 12%, com caráter regulatório, destinado a ampliar o refino interno e garantir o abastecimento da população, cuja vigência se encerrará em 31.12.2026</w:t>
      </w:r>
      <w:r w:rsidR="007B48CC">
        <w:rPr>
          <w:rFonts w:ascii="Calibri" w:hAnsi="Calibri" w:cs="Calibri"/>
          <w:sz w:val="24"/>
          <w:szCs w:val="24"/>
        </w:rPr>
        <w:t>;</w:t>
      </w:r>
    </w:p>
    <w:p w14:paraId="2A35EEA3" w14:textId="77777777" w:rsidR="007F2F8B" w:rsidRPr="00E46F3D" w:rsidRDefault="007F2F8B" w:rsidP="000F676D">
      <w:pPr>
        <w:spacing w:after="0" w:line="240" w:lineRule="auto"/>
        <w:ind w:left="351"/>
        <w:jc w:val="both"/>
        <w:rPr>
          <w:rFonts w:ascii="Calibri" w:hAnsi="Calibri" w:cs="Calibri"/>
          <w:sz w:val="24"/>
          <w:szCs w:val="24"/>
        </w:rPr>
      </w:pPr>
    </w:p>
    <w:p w14:paraId="7210BD5A" w14:textId="77777777" w:rsidR="007F2F8B" w:rsidRPr="00E46F3D" w:rsidRDefault="007F2F8B" w:rsidP="000F676D">
      <w:pPr>
        <w:spacing w:after="0" w:line="240" w:lineRule="auto"/>
        <w:ind w:left="351"/>
        <w:jc w:val="both"/>
        <w:rPr>
          <w:rFonts w:ascii="Calibri" w:hAnsi="Calibri" w:cs="Calibri"/>
          <w:sz w:val="24"/>
          <w:szCs w:val="24"/>
        </w:rPr>
      </w:pPr>
      <w:r w:rsidRPr="00E46F3D">
        <w:rPr>
          <w:rFonts w:ascii="Calibri" w:hAnsi="Calibri" w:cs="Calibri"/>
          <w:b/>
          <w:bCs/>
          <w:sz w:val="24"/>
          <w:szCs w:val="24"/>
        </w:rPr>
        <w:t>(iv)</w:t>
      </w:r>
      <w:r w:rsidRPr="00E46F3D">
        <w:rPr>
          <w:rFonts w:ascii="Calibri" w:hAnsi="Calibri" w:cs="Calibri"/>
          <w:sz w:val="24"/>
          <w:szCs w:val="24"/>
        </w:rPr>
        <w:t xml:space="preserve"> fixam a alíquota de 50% para exportações de óleo diesel durante o período de vigência do programa de subvenção econômica à comercialização do diesel, o qual também se encerrará em 31.12.2026;</w:t>
      </w:r>
    </w:p>
    <w:p w14:paraId="073D133F" w14:textId="77777777" w:rsidR="007F2F8B" w:rsidRPr="00E46F3D" w:rsidRDefault="007F2F8B" w:rsidP="000F676D">
      <w:pPr>
        <w:spacing w:after="0" w:line="240" w:lineRule="auto"/>
        <w:ind w:left="351"/>
        <w:jc w:val="both"/>
        <w:rPr>
          <w:rFonts w:ascii="Calibri" w:hAnsi="Calibri" w:cs="Calibri"/>
          <w:sz w:val="24"/>
          <w:szCs w:val="24"/>
        </w:rPr>
      </w:pPr>
    </w:p>
    <w:p w14:paraId="4D17FA94" w14:textId="77777777" w:rsidR="007F2F8B" w:rsidRPr="00E46F3D" w:rsidRDefault="007F2F8B" w:rsidP="000F676D">
      <w:pPr>
        <w:spacing w:after="0" w:line="240" w:lineRule="auto"/>
        <w:ind w:left="351"/>
        <w:jc w:val="both"/>
        <w:rPr>
          <w:rFonts w:ascii="Calibri" w:hAnsi="Calibri" w:cs="Calibri"/>
          <w:sz w:val="24"/>
          <w:szCs w:val="24"/>
        </w:rPr>
      </w:pPr>
      <w:r w:rsidRPr="00E46F3D">
        <w:rPr>
          <w:rFonts w:ascii="Calibri" w:hAnsi="Calibri" w:cs="Calibri"/>
          <w:b/>
          <w:bCs/>
          <w:sz w:val="24"/>
          <w:szCs w:val="24"/>
        </w:rPr>
        <w:t>(v)</w:t>
      </w:r>
      <w:r w:rsidRPr="00E46F3D">
        <w:rPr>
          <w:rFonts w:ascii="Calibri" w:hAnsi="Calibri" w:cs="Calibri"/>
          <w:sz w:val="24"/>
          <w:szCs w:val="24"/>
        </w:rPr>
        <w:t xml:space="preserve"> estabelecem medidas permanentes de transparência, monitoramento e fiscalização na cadeia de comercialização de combustíveis, tais como:</w:t>
      </w:r>
      <w:r>
        <w:rPr>
          <w:rFonts w:ascii="Calibri" w:hAnsi="Calibri" w:cs="Calibri"/>
          <w:sz w:val="24"/>
          <w:szCs w:val="24"/>
        </w:rPr>
        <w:t xml:space="preserve"> </w:t>
      </w:r>
      <w:r w:rsidRPr="00E46F3D">
        <w:rPr>
          <w:rFonts w:ascii="Calibri" w:hAnsi="Calibri" w:cs="Calibri"/>
          <w:b/>
          <w:bCs/>
          <w:sz w:val="24"/>
          <w:szCs w:val="24"/>
        </w:rPr>
        <w:t>(</w:t>
      </w:r>
      <w:proofErr w:type="spellStart"/>
      <w:r w:rsidRPr="00E46F3D">
        <w:rPr>
          <w:rFonts w:ascii="Calibri" w:hAnsi="Calibri" w:cs="Calibri"/>
          <w:b/>
          <w:bCs/>
          <w:sz w:val="24"/>
          <w:szCs w:val="24"/>
        </w:rPr>
        <w:t>v.i</w:t>
      </w:r>
      <w:proofErr w:type="spellEnd"/>
      <w:r w:rsidRPr="00E46F3D">
        <w:rPr>
          <w:rFonts w:ascii="Calibri" w:hAnsi="Calibri" w:cs="Calibri"/>
          <w:b/>
          <w:bCs/>
          <w:sz w:val="24"/>
          <w:szCs w:val="24"/>
        </w:rPr>
        <w:t>)</w:t>
      </w:r>
      <w:r w:rsidRPr="00E46F3D">
        <w:rPr>
          <w:rFonts w:ascii="Calibri" w:hAnsi="Calibri" w:cs="Calibri"/>
          <w:sz w:val="24"/>
          <w:szCs w:val="24"/>
        </w:rPr>
        <w:t xml:space="preserve"> a adoção, pelos postos de combustíveis, de sinalização clara e visível ao consumidor, informando a redução dos tributos federais e do preço em função da subvenção;</w:t>
      </w:r>
      <w:r>
        <w:rPr>
          <w:rFonts w:ascii="Calibri" w:hAnsi="Calibri" w:cs="Calibri"/>
          <w:sz w:val="24"/>
          <w:szCs w:val="24"/>
        </w:rPr>
        <w:t xml:space="preserve"> </w:t>
      </w:r>
      <w:r w:rsidRPr="00E46F3D">
        <w:rPr>
          <w:rFonts w:ascii="Calibri" w:hAnsi="Calibri" w:cs="Calibri"/>
          <w:b/>
          <w:bCs/>
          <w:sz w:val="24"/>
          <w:szCs w:val="24"/>
        </w:rPr>
        <w:t>(</w:t>
      </w:r>
      <w:proofErr w:type="spellStart"/>
      <w:r w:rsidRPr="00E46F3D">
        <w:rPr>
          <w:rFonts w:ascii="Calibri" w:hAnsi="Calibri" w:cs="Calibri"/>
          <w:b/>
          <w:bCs/>
          <w:sz w:val="24"/>
          <w:szCs w:val="24"/>
        </w:rPr>
        <w:t>v.ii</w:t>
      </w:r>
      <w:proofErr w:type="spellEnd"/>
      <w:r w:rsidRPr="00E46F3D">
        <w:rPr>
          <w:rFonts w:ascii="Calibri" w:hAnsi="Calibri" w:cs="Calibri"/>
          <w:b/>
          <w:bCs/>
          <w:sz w:val="24"/>
          <w:szCs w:val="24"/>
        </w:rPr>
        <w:t>)</w:t>
      </w:r>
      <w:r w:rsidRPr="00E46F3D">
        <w:rPr>
          <w:rFonts w:ascii="Calibri" w:hAnsi="Calibri" w:cs="Calibri"/>
          <w:sz w:val="24"/>
          <w:szCs w:val="24"/>
        </w:rPr>
        <w:t xml:space="preserve"> a atuação coordenada de diversos órgãos públicos, incluindo </w:t>
      </w:r>
      <w:r>
        <w:rPr>
          <w:rFonts w:ascii="Calibri" w:hAnsi="Calibri" w:cs="Calibri"/>
          <w:sz w:val="24"/>
          <w:szCs w:val="24"/>
        </w:rPr>
        <w:t xml:space="preserve">a </w:t>
      </w:r>
      <w:r w:rsidRPr="00555827">
        <w:rPr>
          <w:rFonts w:ascii="Calibri" w:hAnsi="Calibri" w:cs="Calibri"/>
          <w:sz w:val="24"/>
          <w:szCs w:val="24"/>
        </w:rPr>
        <w:t xml:space="preserve">Agência Nacional do Petróleo, Gás Natural e Biocombustíveis </w:t>
      </w:r>
      <w:r>
        <w:rPr>
          <w:rFonts w:ascii="Calibri" w:hAnsi="Calibri" w:cs="Calibri"/>
          <w:sz w:val="24"/>
          <w:szCs w:val="24"/>
        </w:rPr>
        <w:t>(</w:t>
      </w:r>
      <w:r w:rsidRPr="00E46F3D">
        <w:rPr>
          <w:rFonts w:ascii="Calibri" w:hAnsi="Calibri" w:cs="Calibri"/>
          <w:sz w:val="24"/>
          <w:szCs w:val="24"/>
        </w:rPr>
        <w:t>ANP</w:t>
      </w:r>
      <w:r>
        <w:rPr>
          <w:rFonts w:ascii="Calibri" w:hAnsi="Calibri" w:cs="Calibri"/>
          <w:sz w:val="24"/>
          <w:szCs w:val="24"/>
        </w:rPr>
        <w:t>)</w:t>
      </w:r>
      <w:r w:rsidRPr="00E46F3D"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z w:val="24"/>
          <w:szCs w:val="24"/>
        </w:rPr>
        <w:t xml:space="preserve">o </w:t>
      </w:r>
      <w:r w:rsidRPr="00555827">
        <w:rPr>
          <w:rFonts w:ascii="Calibri" w:hAnsi="Calibri" w:cs="Calibri"/>
          <w:sz w:val="24"/>
          <w:szCs w:val="24"/>
        </w:rPr>
        <w:t xml:space="preserve">Conselho Administrativo de Defesa Econômica </w:t>
      </w:r>
      <w:r>
        <w:rPr>
          <w:rFonts w:ascii="Calibri" w:hAnsi="Calibri" w:cs="Calibri"/>
          <w:sz w:val="24"/>
          <w:szCs w:val="24"/>
        </w:rPr>
        <w:t>(</w:t>
      </w:r>
      <w:r w:rsidRPr="00E46F3D"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ADE)</w:t>
      </w:r>
      <w:r w:rsidRPr="00E46F3D"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z w:val="24"/>
          <w:szCs w:val="24"/>
        </w:rPr>
        <w:t xml:space="preserve">a </w:t>
      </w:r>
      <w:r w:rsidRPr="00E46F3D">
        <w:rPr>
          <w:rFonts w:ascii="Calibri" w:hAnsi="Calibri" w:cs="Calibri"/>
          <w:sz w:val="24"/>
          <w:szCs w:val="24"/>
        </w:rPr>
        <w:t>Receita Federal, Secretaria Nacional do Consumidor e Polícia Federal, com o objetivo de acompanhar a formação de preços e coibir práticas abusivas ou condutas anticompetitivas;</w:t>
      </w:r>
      <w:r>
        <w:rPr>
          <w:rFonts w:ascii="Calibri" w:hAnsi="Calibri" w:cs="Calibri"/>
          <w:sz w:val="24"/>
          <w:szCs w:val="24"/>
        </w:rPr>
        <w:t xml:space="preserve"> </w:t>
      </w:r>
      <w:r w:rsidRPr="00E46F3D">
        <w:rPr>
          <w:rFonts w:ascii="Calibri" w:hAnsi="Calibri" w:cs="Calibri"/>
          <w:b/>
          <w:bCs/>
          <w:sz w:val="24"/>
          <w:szCs w:val="24"/>
        </w:rPr>
        <w:t>(</w:t>
      </w:r>
      <w:proofErr w:type="spellStart"/>
      <w:r w:rsidRPr="00E46F3D">
        <w:rPr>
          <w:rFonts w:ascii="Calibri" w:hAnsi="Calibri" w:cs="Calibri"/>
          <w:b/>
          <w:bCs/>
          <w:sz w:val="24"/>
          <w:szCs w:val="24"/>
        </w:rPr>
        <w:t>v.iii</w:t>
      </w:r>
      <w:proofErr w:type="spellEnd"/>
      <w:r w:rsidRPr="00E46F3D">
        <w:rPr>
          <w:rFonts w:ascii="Calibri" w:hAnsi="Calibri" w:cs="Calibri"/>
          <w:b/>
          <w:bCs/>
          <w:sz w:val="24"/>
          <w:szCs w:val="24"/>
        </w:rPr>
        <w:t>)</w:t>
      </w:r>
      <w:r w:rsidRPr="00E46F3D">
        <w:rPr>
          <w:rFonts w:ascii="Calibri" w:hAnsi="Calibri" w:cs="Calibri"/>
          <w:sz w:val="24"/>
          <w:szCs w:val="24"/>
        </w:rPr>
        <w:t xml:space="preserve"> a previsão de multas de R$ 50 mil a R$ 500 mil para as empresas:</w:t>
      </w:r>
      <w:r>
        <w:rPr>
          <w:rFonts w:ascii="Calibri" w:hAnsi="Calibri" w:cs="Calibri"/>
          <w:sz w:val="24"/>
          <w:szCs w:val="24"/>
        </w:rPr>
        <w:t xml:space="preserve"> </w:t>
      </w:r>
      <w:r w:rsidRPr="00E46F3D">
        <w:rPr>
          <w:rFonts w:ascii="Calibri" w:hAnsi="Calibri" w:cs="Calibri"/>
          <w:b/>
          <w:bCs/>
          <w:sz w:val="24"/>
          <w:szCs w:val="24"/>
        </w:rPr>
        <w:t>(</w:t>
      </w:r>
      <w:proofErr w:type="spellStart"/>
      <w:r w:rsidRPr="00E46F3D">
        <w:rPr>
          <w:rFonts w:ascii="Calibri" w:hAnsi="Calibri" w:cs="Calibri"/>
          <w:b/>
          <w:bCs/>
          <w:sz w:val="24"/>
          <w:szCs w:val="24"/>
        </w:rPr>
        <w:t>v.iii.a</w:t>
      </w:r>
      <w:proofErr w:type="spellEnd"/>
      <w:r w:rsidRPr="00E46F3D">
        <w:rPr>
          <w:rFonts w:ascii="Calibri" w:hAnsi="Calibri" w:cs="Calibri"/>
          <w:b/>
          <w:bCs/>
          <w:sz w:val="24"/>
          <w:szCs w:val="24"/>
        </w:rPr>
        <w:t>)</w:t>
      </w:r>
      <w:r w:rsidRPr="00E46F3D">
        <w:rPr>
          <w:rFonts w:ascii="Calibri" w:hAnsi="Calibri" w:cs="Calibri"/>
          <w:sz w:val="24"/>
          <w:szCs w:val="24"/>
        </w:rPr>
        <w:t xml:space="preserve"> que elevarem, de forma abusiva, os preços de combustíveis, biocombustíveis e derivados de petróleo, penalidade que poderá ser agravada em situações de calamidade ou conflitos geopolíticos; e</w:t>
      </w:r>
      <w:r>
        <w:rPr>
          <w:rFonts w:ascii="Calibri" w:hAnsi="Calibri" w:cs="Calibri"/>
          <w:sz w:val="24"/>
          <w:szCs w:val="24"/>
        </w:rPr>
        <w:t xml:space="preserve"> </w:t>
      </w:r>
      <w:r w:rsidRPr="00E46F3D">
        <w:rPr>
          <w:rFonts w:ascii="Calibri" w:hAnsi="Calibri" w:cs="Calibri"/>
          <w:b/>
          <w:bCs/>
          <w:sz w:val="24"/>
          <w:szCs w:val="24"/>
        </w:rPr>
        <w:t>(</w:t>
      </w:r>
      <w:proofErr w:type="spellStart"/>
      <w:r w:rsidRPr="00E46F3D">
        <w:rPr>
          <w:rFonts w:ascii="Calibri" w:hAnsi="Calibri" w:cs="Calibri"/>
          <w:b/>
          <w:bCs/>
          <w:sz w:val="24"/>
          <w:szCs w:val="24"/>
        </w:rPr>
        <w:t>v.iii.b</w:t>
      </w:r>
      <w:proofErr w:type="spellEnd"/>
      <w:r w:rsidRPr="00E46F3D">
        <w:rPr>
          <w:rFonts w:ascii="Calibri" w:hAnsi="Calibri" w:cs="Calibri"/>
          <w:b/>
          <w:bCs/>
          <w:sz w:val="24"/>
          <w:szCs w:val="24"/>
        </w:rPr>
        <w:t>)</w:t>
      </w:r>
      <w:r w:rsidRPr="00E46F3D">
        <w:rPr>
          <w:rFonts w:ascii="Calibri" w:hAnsi="Calibri" w:cs="Calibri"/>
          <w:sz w:val="24"/>
          <w:szCs w:val="24"/>
        </w:rPr>
        <w:t xml:space="preserve"> que recusarem o fornecimento desses mesmos produtos de forma injustificada, sendo a penalidade fixada proporcionalmente ao ganho econômico obtido com a recusa.</w:t>
      </w:r>
    </w:p>
    <w:p w14:paraId="2BF4DD6D" w14:textId="77777777" w:rsidR="007F2F8B" w:rsidRPr="00E46F3D" w:rsidRDefault="007F2F8B" w:rsidP="00801D4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BDF7A62" w14:textId="77777777" w:rsidR="007F2F8B" w:rsidRPr="00E46F3D" w:rsidRDefault="007F2F8B" w:rsidP="00801D46">
      <w:pPr>
        <w:spacing w:after="0" w:line="240" w:lineRule="auto"/>
        <w:ind w:firstLine="351"/>
        <w:jc w:val="both"/>
        <w:rPr>
          <w:rFonts w:ascii="Calibri" w:hAnsi="Calibri" w:cs="Calibri"/>
          <w:sz w:val="24"/>
          <w:szCs w:val="24"/>
        </w:rPr>
      </w:pPr>
      <w:r w:rsidRPr="00E46F3D">
        <w:rPr>
          <w:rFonts w:ascii="Calibri" w:hAnsi="Calibri" w:cs="Calibri"/>
          <w:sz w:val="24"/>
          <w:szCs w:val="24"/>
        </w:rPr>
        <w:t>De acordo com o Governo Federal, a renúncia tributária decorrente d</w:t>
      </w:r>
      <w:r>
        <w:rPr>
          <w:rFonts w:ascii="Calibri" w:hAnsi="Calibri" w:cs="Calibri"/>
          <w:sz w:val="24"/>
          <w:szCs w:val="24"/>
        </w:rPr>
        <w:t>e tai</w:t>
      </w:r>
      <w:r w:rsidRPr="00E46F3D">
        <w:rPr>
          <w:rFonts w:ascii="Calibri" w:hAnsi="Calibri" w:cs="Calibri"/>
          <w:sz w:val="24"/>
          <w:szCs w:val="24"/>
        </w:rPr>
        <w:t xml:space="preserve">s medidas deve alcançar R$ 20 bilhões, enquanto o subsídio representa outros R$ 10 bilhões, valores que serão compensados por meio das novas alíquotas incidentes sobre a exportação de petróleo (item </w:t>
      </w:r>
      <w:r w:rsidRPr="00E46F3D">
        <w:rPr>
          <w:rFonts w:ascii="Calibri" w:hAnsi="Calibri" w:cs="Calibri"/>
          <w:b/>
          <w:bCs/>
          <w:sz w:val="24"/>
          <w:szCs w:val="24"/>
        </w:rPr>
        <w:t>iii</w:t>
      </w:r>
      <w:r w:rsidRPr="00E46F3D">
        <w:rPr>
          <w:rFonts w:ascii="Calibri" w:hAnsi="Calibri" w:cs="Calibri"/>
          <w:sz w:val="24"/>
          <w:szCs w:val="24"/>
        </w:rPr>
        <w:t xml:space="preserve">) e de diesel (item </w:t>
      </w:r>
      <w:r w:rsidRPr="00E46F3D">
        <w:rPr>
          <w:rFonts w:ascii="Calibri" w:hAnsi="Calibri" w:cs="Calibri"/>
          <w:b/>
          <w:bCs/>
          <w:sz w:val="24"/>
          <w:szCs w:val="24"/>
        </w:rPr>
        <w:t>iv</w:t>
      </w:r>
      <w:r w:rsidRPr="00E46F3D">
        <w:rPr>
          <w:rFonts w:ascii="Calibri" w:hAnsi="Calibri" w:cs="Calibri"/>
          <w:sz w:val="24"/>
          <w:szCs w:val="24"/>
        </w:rPr>
        <w:t>).</w:t>
      </w:r>
    </w:p>
    <w:p w14:paraId="7766EEFE" w14:textId="77777777" w:rsidR="007F2F8B" w:rsidRPr="00E46F3D" w:rsidRDefault="007F2F8B" w:rsidP="00801D46">
      <w:pPr>
        <w:spacing w:after="0" w:line="240" w:lineRule="auto"/>
        <w:ind w:firstLine="351"/>
        <w:jc w:val="both"/>
        <w:rPr>
          <w:rFonts w:ascii="Calibri" w:hAnsi="Calibri" w:cs="Calibri"/>
          <w:sz w:val="24"/>
          <w:szCs w:val="24"/>
        </w:rPr>
      </w:pPr>
    </w:p>
    <w:p w14:paraId="42EB8DF8" w14:textId="77777777" w:rsidR="007F2F8B" w:rsidRPr="00E46F3D" w:rsidRDefault="007F2F8B" w:rsidP="00801D46">
      <w:pPr>
        <w:spacing w:after="0" w:line="240" w:lineRule="auto"/>
        <w:ind w:firstLine="351"/>
        <w:jc w:val="both"/>
        <w:rPr>
          <w:rFonts w:ascii="Calibri" w:hAnsi="Calibri" w:cs="Calibri"/>
          <w:sz w:val="24"/>
          <w:szCs w:val="24"/>
        </w:rPr>
      </w:pPr>
      <w:r w:rsidRPr="00E46F3D">
        <w:rPr>
          <w:rFonts w:ascii="Calibri" w:hAnsi="Calibri" w:cs="Calibri"/>
          <w:sz w:val="24"/>
          <w:szCs w:val="24"/>
        </w:rPr>
        <w:t>Tais medidas, de aplicação imediata, foram apresentadas no contexto da elevação dos preços internacionais do petróleo, em razão d</w:t>
      </w:r>
      <w:r>
        <w:rPr>
          <w:rFonts w:ascii="Calibri" w:hAnsi="Calibri" w:cs="Calibri"/>
          <w:sz w:val="24"/>
          <w:szCs w:val="24"/>
        </w:rPr>
        <w:t>a Guerra n</w:t>
      </w:r>
      <w:r w:rsidRPr="00E46F3D">
        <w:rPr>
          <w:rFonts w:ascii="Calibri" w:hAnsi="Calibri" w:cs="Calibri"/>
          <w:sz w:val="24"/>
          <w:szCs w:val="24"/>
        </w:rPr>
        <w:t>o Irã, com vistas a reduzir os efeitos da volatilidade do mercado internacional e evitar o aumento do custo dos combustíveis no Brasil.</w:t>
      </w:r>
    </w:p>
    <w:p w14:paraId="61B23B22" w14:textId="77777777" w:rsidR="007F2F8B" w:rsidRPr="00E46F3D" w:rsidRDefault="007F2F8B" w:rsidP="00801D46">
      <w:pPr>
        <w:spacing w:after="0" w:line="240" w:lineRule="auto"/>
        <w:ind w:firstLine="351"/>
        <w:jc w:val="both"/>
        <w:rPr>
          <w:rFonts w:ascii="Calibri" w:hAnsi="Calibri" w:cs="Calibri"/>
          <w:sz w:val="24"/>
          <w:szCs w:val="24"/>
        </w:rPr>
      </w:pPr>
    </w:p>
    <w:p w14:paraId="0D93719A" w14:textId="689EA7BE" w:rsidR="007F2F8B" w:rsidRPr="00E46F3D" w:rsidRDefault="007F2F8B" w:rsidP="00801D46">
      <w:pPr>
        <w:spacing w:after="0" w:line="240" w:lineRule="auto"/>
        <w:ind w:firstLine="351"/>
        <w:jc w:val="both"/>
        <w:rPr>
          <w:rFonts w:ascii="Calibri" w:hAnsi="Calibri" w:cs="Calibri"/>
          <w:sz w:val="24"/>
          <w:szCs w:val="24"/>
        </w:rPr>
      </w:pPr>
      <w:r w:rsidRPr="00E46F3D">
        <w:rPr>
          <w:rFonts w:ascii="Calibri" w:hAnsi="Calibri" w:cs="Calibri"/>
          <w:sz w:val="24"/>
          <w:szCs w:val="24"/>
        </w:rPr>
        <w:t xml:space="preserve">Inicialmente, o Governo Federal propôs aos Estados a redução do ICMS incidente sobre combustíveis. Entretanto, prevaleceu </w:t>
      </w:r>
      <w:r w:rsidR="007B48CC">
        <w:rPr>
          <w:rFonts w:ascii="Calibri" w:hAnsi="Calibri" w:cs="Calibri"/>
          <w:sz w:val="24"/>
          <w:szCs w:val="24"/>
        </w:rPr>
        <w:t>proposta no sentido de</w:t>
      </w:r>
      <w:r w:rsidRPr="00E46F3D">
        <w:rPr>
          <w:rFonts w:ascii="Calibri" w:hAnsi="Calibri" w:cs="Calibri"/>
          <w:sz w:val="24"/>
          <w:szCs w:val="24"/>
        </w:rPr>
        <w:t xml:space="preserve"> divi</w:t>
      </w:r>
      <w:r w:rsidR="007B48CC">
        <w:rPr>
          <w:rFonts w:ascii="Calibri" w:hAnsi="Calibri" w:cs="Calibri"/>
          <w:sz w:val="24"/>
          <w:szCs w:val="24"/>
        </w:rPr>
        <w:t>dir</w:t>
      </w:r>
      <w:r w:rsidRPr="00E46F3D">
        <w:rPr>
          <w:rFonts w:ascii="Calibri" w:hAnsi="Calibri" w:cs="Calibri"/>
          <w:sz w:val="24"/>
          <w:szCs w:val="24"/>
        </w:rPr>
        <w:t xml:space="preserve"> tempor</w:t>
      </w:r>
      <w:r w:rsidR="007B48CC">
        <w:rPr>
          <w:rFonts w:ascii="Calibri" w:hAnsi="Calibri" w:cs="Calibri"/>
          <w:sz w:val="24"/>
          <w:szCs w:val="24"/>
        </w:rPr>
        <w:t>ariamente</w:t>
      </w:r>
      <w:r w:rsidRPr="00E46F3D">
        <w:rPr>
          <w:rFonts w:ascii="Calibri" w:hAnsi="Calibri" w:cs="Calibri"/>
          <w:sz w:val="24"/>
          <w:szCs w:val="24"/>
        </w:rPr>
        <w:t xml:space="preserve"> o custo de subvenção de até R$ 1,20 por litro de diesel importado, com repartição </w:t>
      </w:r>
      <w:r>
        <w:rPr>
          <w:rFonts w:ascii="Calibri" w:hAnsi="Calibri" w:cs="Calibri"/>
          <w:sz w:val="24"/>
          <w:szCs w:val="24"/>
        </w:rPr>
        <w:t xml:space="preserve">proporcional </w:t>
      </w:r>
      <w:r w:rsidRPr="00E46F3D">
        <w:rPr>
          <w:rFonts w:ascii="Calibri" w:hAnsi="Calibri" w:cs="Calibri"/>
          <w:sz w:val="24"/>
          <w:szCs w:val="24"/>
        </w:rPr>
        <w:t>do ônus entre os Estados (R$ 0,60) e a União (R$ 0,60).</w:t>
      </w:r>
    </w:p>
    <w:p w14:paraId="6C79EA26" w14:textId="77777777" w:rsidR="007F2F8B" w:rsidRPr="00E46F3D" w:rsidRDefault="007F2F8B" w:rsidP="00801D46">
      <w:pPr>
        <w:spacing w:after="0" w:line="240" w:lineRule="auto"/>
        <w:ind w:firstLine="351"/>
        <w:jc w:val="both"/>
        <w:rPr>
          <w:rFonts w:ascii="Calibri" w:hAnsi="Calibri" w:cs="Calibri"/>
          <w:sz w:val="24"/>
          <w:szCs w:val="24"/>
        </w:rPr>
      </w:pPr>
    </w:p>
    <w:p w14:paraId="1C189F67" w14:textId="7DBF7058" w:rsidR="007F2F8B" w:rsidRPr="00E46F3D" w:rsidRDefault="007F2F8B" w:rsidP="00801D46">
      <w:pPr>
        <w:spacing w:after="0" w:line="240" w:lineRule="auto"/>
        <w:ind w:firstLine="351"/>
        <w:jc w:val="both"/>
        <w:rPr>
          <w:rFonts w:ascii="Calibri" w:hAnsi="Calibri" w:cs="Calibri"/>
          <w:sz w:val="24"/>
          <w:szCs w:val="24"/>
        </w:rPr>
      </w:pPr>
      <w:r w:rsidRPr="00E46F3D">
        <w:rPr>
          <w:rFonts w:ascii="Calibri" w:hAnsi="Calibri" w:cs="Calibri"/>
          <w:sz w:val="24"/>
          <w:szCs w:val="24"/>
        </w:rPr>
        <w:lastRenderedPageBreak/>
        <w:t>De acordo com o Comitê Nacional de Secretários de Fazenda, Finanças, Receita ou Tributação dos Estados e do Distrito Federal (</w:t>
      </w:r>
      <w:proofErr w:type="spellStart"/>
      <w:r w:rsidRPr="00E46F3D">
        <w:rPr>
          <w:rFonts w:ascii="Calibri" w:hAnsi="Calibri" w:cs="Calibri"/>
          <w:sz w:val="24"/>
          <w:szCs w:val="24"/>
        </w:rPr>
        <w:t>Comsefaz</w:t>
      </w:r>
      <w:proofErr w:type="spellEnd"/>
      <w:r w:rsidRPr="00E46F3D">
        <w:rPr>
          <w:rFonts w:ascii="Calibri" w:hAnsi="Calibri" w:cs="Calibri"/>
          <w:sz w:val="24"/>
          <w:szCs w:val="24"/>
        </w:rPr>
        <w:t>), mais de 80% dos Estados já sinalizaram adesão à proposta, com o objetivo de mitigar os efeitos inflacionários sobre a população</w:t>
      </w:r>
      <w:r w:rsidR="007B48CC">
        <w:rPr>
          <w:rFonts w:ascii="Calibri" w:hAnsi="Calibri" w:cs="Calibri"/>
          <w:sz w:val="24"/>
          <w:szCs w:val="24"/>
        </w:rPr>
        <w:t>.</w:t>
      </w:r>
      <w:bookmarkEnd w:id="2"/>
    </w:p>
    <w:sectPr w:rsidR="007F2F8B" w:rsidRPr="00E46F3D" w:rsidSect="00466792">
      <w:headerReference w:type="default" r:id="rId8"/>
      <w:footerReference w:type="default" r:id="rId9"/>
      <w:pgSz w:w="11906" w:h="16838"/>
      <w:pgMar w:top="0" w:right="851" w:bottom="0" w:left="851" w:header="283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4F213" w14:textId="77777777" w:rsidR="009C0ED6" w:rsidRDefault="009C0ED6" w:rsidP="00FD7981">
      <w:pPr>
        <w:spacing w:after="0" w:line="240" w:lineRule="auto"/>
      </w:pPr>
      <w:r>
        <w:separator/>
      </w:r>
    </w:p>
  </w:endnote>
  <w:endnote w:type="continuationSeparator" w:id="0">
    <w:p w14:paraId="30976057" w14:textId="77777777" w:rsidR="009C0ED6" w:rsidRDefault="009C0ED6" w:rsidP="00FD7981">
      <w:pPr>
        <w:spacing w:after="0" w:line="240" w:lineRule="auto"/>
      </w:pPr>
      <w:r>
        <w:continuationSeparator/>
      </w:r>
    </w:p>
  </w:endnote>
  <w:endnote w:type="continuationNotice" w:id="1">
    <w:p w14:paraId="5184DA05" w14:textId="77777777" w:rsidR="009C0ED6" w:rsidRDefault="009C0E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082114"/>
      <w:docPartObj>
        <w:docPartGallery w:val="Page Numbers (Bottom of Page)"/>
        <w:docPartUnique/>
      </w:docPartObj>
    </w:sdtPr>
    <w:sdtEndPr>
      <w:rPr>
        <w:color w:val="BFBFBF" w:themeColor="background1" w:themeShade="BF"/>
      </w:rPr>
    </w:sdtEndPr>
    <w:sdtContent>
      <w:p w14:paraId="350388CB" w14:textId="1547D335" w:rsidR="003B3AA5" w:rsidRPr="005B5221" w:rsidRDefault="003B3AA5">
        <w:pPr>
          <w:pStyle w:val="Rodap"/>
          <w:jc w:val="right"/>
          <w:rPr>
            <w:color w:val="BFBFBF" w:themeColor="background1" w:themeShade="BF"/>
          </w:rPr>
        </w:pPr>
        <w:r w:rsidRPr="005B5221">
          <w:rPr>
            <w:color w:val="BFBFBF" w:themeColor="background1" w:themeShade="BF"/>
          </w:rPr>
          <w:fldChar w:fldCharType="begin"/>
        </w:r>
        <w:r w:rsidRPr="005B5221">
          <w:rPr>
            <w:color w:val="BFBFBF" w:themeColor="background1" w:themeShade="BF"/>
          </w:rPr>
          <w:instrText>PAGE   \* MERGEFORMAT</w:instrText>
        </w:r>
        <w:r w:rsidRPr="005B5221">
          <w:rPr>
            <w:color w:val="BFBFBF" w:themeColor="background1" w:themeShade="BF"/>
          </w:rPr>
          <w:fldChar w:fldCharType="separate"/>
        </w:r>
        <w:r w:rsidRPr="005B5221">
          <w:rPr>
            <w:color w:val="BFBFBF" w:themeColor="background1" w:themeShade="BF"/>
          </w:rPr>
          <w:t>2</w:t>
        </w:r>
        <w:r w:rsidRPr="005B5221">
          <w:rPr>
            <w:color w:val="BFBFBF" w:themeColor="background1" w:themeShade="BF"/>
          </w:rPr>
          <w:fldChar w:fldCharType="end"/>
        </w:r>
      </w:p>
    </w:sdtContent>
  </w:sdt>
  <w:p w14:paraId="7CF08CF9" w14:textId="77777777" w:rsidR="003B3AA5" w:rsidRDefault="003B3A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DD4D0" w14:textId="77777777" w:rsidR="009C0ED6" w:rsidRDefault="009C0ED6" w:rsidP="00FD7981">
      <w:pPr>
        <w:spacing w:after="0" w:line="240" w:lineRule="auto"/>
      </w:pPr>
      <w:r>
        <w:separator/>
      </w:r>
    </w:p>
  </w:footnote>
  <w:footnote w:type="continuationSeparator" w:id="0">
    <w:p w14:paraId="6D83D2D1" w14:textId="77777777" w:rsidR="009C0ED6" w:rsidRDefault="009C0ED6" w:rsidP="00FD7981">
      <w:pPr>
        <w:spacing w:after="0" w:line="240" w:lineRule="auto"/>
      </w:pPr>
      <w:r>
        <w:continuationSeparator/>
      </w:r>
    </w:p>
  </w:footnote>
  <w:footnote w:type="continuationNotice" w:id="1">
    <w:p w14:paraId="0AC790FA" w14:textId="77777777" w:rsidR="009C0ED6" w:rsidRDefault="009C0ED6">
      <w:pPr>
        <w:spacing w:after="0" w:line="240" w:lineRule="auto"/>
      </w:pPr>
    </w:p>
  </w:footnote>
  <w:footnote w:id="2">
    <w:p w14:paraId="7F21CA20" w14:textId="77777777" w:rsidR="007A6ADC" w:rsidRDefault="007A6ADC" w:rsidP="007A6ADC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O Min. Cristiano Zanin acompanhou o Min. Relator, mas ressalvou que a tese em questão não deve impedir que os municípios verifiquem, em casos concretos, se houve fraude ou simulação.</w:t>
      </w:r>
    </w:p>
  </w:footnote>
  <w:footnote w:id="3">
    <w:p w14:paraId="7242CA4C" w14:textId="2CFA0046" w:rsidR="00CB262D" w:rsidRPr="00CB262D" w:rsidRDefault="00CB262D" w:rsidP="00CB262D">
      <w:pPr>
        <w:pStyle w:val="Textodenotaderodap"/>
      </w:pPr>
      <w:r>
        <w:rPr>
          <w:rStyle w:val="Refdenotaderodap"/>
        </w:rPr>
        <w:footnoteRef/>
      </w:r>
      <w:r w:rsidRPr="00CB262D">
        <w:t xml:space="preserve"> Site: https://valor.globo.com/legislacao/noticia/2026/03/02/despesas-com-pessoal-geram-creditos-de-pis-cofins.ghtml; ace</w:t>
      </w:r>
      <w:r>
        <w:t>ssado em 02.04.2026.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08F75" w14:textId="1DD852DE" w:rsidR="00DD55B4" w:rsidRDefault="001F4681" w:rsidP="00FD7981">
    <w:pPr>
      <w:pStyle w:val="Cabealho"/>
      <w:jc w:val="both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2301E09" wp14:editId="0E99001E">
          <wp:simplePos x="0" y="0"/>
          <wp:positionH relativeFrom="page">
            <wp:align>left</wp:align>
          </wp:positionH>
          <wp:positionV relativeFrom="paragraph">
            <wp:posOffset>-184785</wp:posOffset>
          </wp:positionV>
          <wp:extent cx="7552690" cy="10682866"/>
          <wp:effectExtent l="0" t="0" r="0" b="4445"/>
          <wp:wrapNone/>
          <wp:docPr id="2035610731" name="Imagem 2035610731" descr="Interface gráfica do usuário, Aplicativ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Interface gráfica do usuário, Aplicativ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06828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7981" w:rsidRPr="00FD7981">
      <w:rPr>
        <w:rFonts w:ascii="Montserrat" w:hAnsi="Montserrat"/>
        <w:noProof/>
        <w:color w:val="FFFFFF" w:themeColor="background1"/>
        <w:sz w:val="32"/>
        <w:szCs w:val="32"/>
      </w:rPr>
      <w:drawing>
        <wp:anchor distT="0" distB="0" distL="114300" distR="114300" simplePos="0" relativeHeight="251658240" behindDoc="1" locked="0" layoutInCell="1" allowOverlap="1" wp14:anchorId="51833ABE" wp14:editId="455D76B9">
          <wp:simplePos x="0" y="0"/>
          <wp:positionH relativeFrom="page">
            <wp:align>left</wp:align>
          </wp:positionH>
          <wp:positionV relativeFrom="paragraph">
            <wp:posOffset>-361315</wp:posOffset>
          </wp:positionV>
          <wp:extent cx="7599040" cy="2072640"/>
          <wp:effectExtent l="0" t="0" r="2540" b="3810"/>
          <wp:wrapNone/>
          <wp:docPr id="108075028" name="Imagem 108075028" descr="Interface gráfica do usuário, Aplicativ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Interface gráfica do usuário, Aplicativo&#10;&#10;Descrição gerada automaticamente com confiança média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719"/>
                  <a:stretch/>
                </pic:blipFill>
                <pic:spPr bwMode="auto">
                  <a:xfrm>
                    <a:off x="0" y="0"/>
                    <a:ext cx="7599040" cy="2072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7981">
      <w:ptab w:relativeTo="margin" w:alignment="right" w:leader="none"/>
    </w:r>
  </w:p>
  <w:p w14:paraId="6608A217" w14:textId="3D5895F9" w:rsidR="00DD55B4" w:rsidRPr="000A771E" w:rsidRDefault="002B6A55" w:rsidP="00DE0794">
    <w:pPr>
      <w:pStyle w:val="Cabealho"/>
      <w:jc w:val="right"/>
      <w:rPr>
        <w:rFonts w:ascii="Bebas Neue" w:hAnsi="Bebas Neue"/>
        <w:sz w:val="64"/>
        <w:szCs w:val="64"/>
      </w:rPr>
    </w:pPr>
    <w:r w:rsidRPr="000A771E">
      <w:rPr>
        <w:rFonts w:ascii="Montserrat" w:hAnsi="Montserrat"/>
        <w:noProof/>
        <w:sz w:val="64"/>
        <w:szCs w:val="64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E37106C" wp14:editId="51AD6D0F">
              <wp:simplePos x="0" y="0"/>
              <wp:positionH relativeFrom="margin">
                <wp:posOffset>5253746</wp:posOffset>
              </wp:positionH>
              <wp:positionV relativeFrom="paragraph">
                <wp:posOffset>443718</wp:posOffset>
              </wp:positionV>
              <wp:extent cx="1219688" cy="2931"/>
              <wp:effectExtent l="0" t="0" r="19050" b="3556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19688" cy="2931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B6FF14" id="Conector reto 1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13.7pt,34.95pt" to="509.7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wQswEAANcDAAAOAAAAZHJzL2Uyb0RvYy54bWysU01v2zAMvQ/YfxB0X2xnQNEacXpo0V6G&#10;rdjHD1BlKhYgiYKkxc6/HyUndrEOGDb0QosS3yP5SO9uJ2vYEULU6DrebGrOwEnstTt0/Mf3hw/X&#10;nMUkXC8MOuj4CSK/3b9/txt9C1sc0PQQGJG42I6+40NKvq2qKAewIm7Qg6NHhcGKRG44VH0QI7Fb&#10;U23r+qoaMfQ+oIQY6fZ+fuT7wq8UyPRFqQiJmY5TbanYUOxzttV+J9pDEH7Q8lyG+I8qrNCOki5U&#10;9yIJ9jPoV1RWy4ARVdpItBUqpSWUHqibpv6tm2+D8FB6IXGiX2SKb0crPx/v3FMgGUYf2+ifQu5i&#10;UsHmL9XHpiLWaRELpsQkXTbb5ubqmsYr6W1787HJWlYr1oeYHgEty4eOG+1yK6IVx08xzaGXkHxt&#10;XLYRje4ftDHFyUsAdyawo6DxpemS4kUUJczIaq2+nNLJwMz6FRTTfa63ZC+LtXIKKcGlC69xFJ1h&#10;iipYgPXfgef4DIWydP8CXhAlM7q0gK12GP6UfZVCzfEXBea+swTP2J/KXIs0tD1lOOdNz+v50i/w&#10;9X/c/wIAAP//AwBQSwMEFAAGAAgAAAAhAPROiKPiAAAACgEAAA8AAABkcnMvZG93bnJldi54bWxM&#10;j8FOwzAQRO9I/IO1SFwQtVvatAnZVChSLxyQaFDF0Y3dOCJeR7HbpH+Pe4Ljap5m3ubbyXbsogff&#10;OkKYzwQwTbVTLTUIX9XueQPMB0lKdo40wlV72Bb3d7nMlBvpU1/2oWGxhHwmEUwIfca5r4220s9c&#10;rylmJzdYGeI5NFwNcozltuMLIRJuZUtxwchel0bXP/uzRfhunl52h4qqsQwfp8RM18P7qkR8fJje&#10;XoEFPYU/GG76UR2K6HR0Z1KedQibxXoZUYQkTYHdADFPV8COCGuxBF7k/P8LxS8AAAD//wMAUEsB&#10;Ai0AFAAGAAgAAAAhALaDOJL+AAAA4QEAABMAAAAAAAAAAAAAAAAAAAAAAFtDb250ZW50X1R5cGVz&#10;XS54bWxQSwECLQAUAAYACAAAACEAOP0h/9YAAACUAQAACwAAAAAAAAAAAAAAAAAvAQAAX3JlbHMv&#10;LnJlbHNQSwECLQAUAAYACAAAACEALAacELMBAADXAwAADgAAAAAAAAAAAAAAAAAuAgAAZHJzL2Uy&#10;b0RvYy54bWxQSwECLQAUAAYACAAAACEA9E6Io+IAAAAKAQAADwAAAAAAAAAAAAAAAAANBAAAZHJz&#10;L2Rvd25yZXYueG1sUEsFBgAAAAAEAAQA8wAAABwFAAAAAA==&#10;" strokecolor="black [3213]" strokeweight=".5pt">
              <v:stroke joinstyle="miter"/>
              <w10:wrap anchorx="margin"/>
            </v:line>
          </w:pict>
        </mc:Fallback>
      </mc:AlternateContent>
    </w:r>
    <w:r w:rsidR="000A771E" w:rsidRPr="000A771E">
      <w:rPr>
        <w:rFonts w:ascii="Bebas Neue" w:hAnsi="Bebas Neue"/>
        <w:sz w:val="64"/>
        <w:szCs w:val="64"/>
      </w:rPr>
      <w:t>BDE NEWS</w:t>
    </w:r>
  </w:p>
  <w:p w14:paraId="0AD55EC3" w14:textId="7A3AD31F" w:rsidR="005835F6" w:rsidRPr="000A771E" w:rsidRDefault="000A771E" w:rsidP="00DE0794">
    <w:pPr>
      <w:pStyle w:val="Cabealho"/>
      <w:jc w:val="right"/>
      <w:rPr>
        <w:rFonts w:ascii="Montserrat" w:hAnsi="Montserrat"/>
        <w:sz w:val="34"/>
        <w:szCs w:val="34"/>
      </w:rPr>
    </w:pPr>
    <w:r w:rsidRPr="000A771E">
      <w:rPr>
        <w:rFonts w:ascii="Montserrat" w:hAnsi="Montserrat"/>
        <w:sz w:val="34"/>
        <w:szCs w:val="34"/>
      </w:rPr>
      <w:t xml:space="preserve">Retrospectiva </w:t>
    </w:r>
    <w:r w:rsidR="002468DA">
      <w:rPr>
        <w:rFonts w:ascii="Montserrat" w:hAnsi="Montserrat"/>
        <w:sz w:val="34"/>
        <w:szCs w:val="34"/>
      </w:rPr>
      <w:t xml:space="preserve">- </w:t>
    </w:r>
    <w:r w:rsidR="009B0B81">
      <w:rPr>
        <w:rFonts w:ascii="Montserrat" w:hAnsi="Montserrat"/>
        <w:sz w:val="34"/>
        <w:szCs w:val="34"/>
      </w:rPr>
      <w:t>Março</w:t>
    </w:r>
    <w:r w:rsidRPr="000A771E">
      <w:rPr>
        <w:rFonts w:ascii="Montserrat" w:hAnsi="Montserrat"/>
        <w:sz w:val="34"/>
        <w:szCs w:val="34"/>
      </w:rPr>
      <w:t>/</w:t>
    </w:r>
    <w:r w:rsidR="00A95098" w:rsidRPr="000A771E">
      <w:rPr>
        <w:rFonts w:ascii="Montserrat" w:hAnsi="Montserrat"/>
        <w:sz w:val="34"/>
        <w:szCs w:val="34"/>
      </w:rPr>
      <w:t>2</w:t>
    </w:r>
    <w:r w:rsidR="00AA58B9">
      <w:rPr>
        <w:rFonts w:ascii="Montserrat" w:hAnsi="Montserrat"/>
        <w:sz w:val="34"/>
        <w:szCs w:val="34"/>
      </w:rPr>
      <w:t>6</w:t>
    </w:r>
  </w:p>
  <w:p w14:paraId="23AB71C4" w14:textId="679C1523" w:rsidR="00FD7981" w:rsidRPr="00F61151" w:rsidRDefault="00FD7981" w:rsidP="00FD7981">
    <w:pPr>
      <w:pStyle w:val="Cabealho"/>
      <w:jc w:val="both"/>
    </w:pPr>
  </w:p>
  <w:p w14:paraId="01B1D6F9" w14:textId="06DC1570" w:rsidR="00FD7981" w:rsidRPr="00F61151" w:rsidRDefault="00FD7981" w:rsidP="00FD7981">
    <w:pPr>
      <w:pStyle w:val="Cabealho"/>
      <w:jc w:val="both"/>
    </w:pPr>
  </w:p>
  <w:p w14:paraId="348EE6ED" w14:textId="126AD337" w:rsidR="00FD7981" w:rsidRPr="00F61151" w:rsidRDefault="00FD7981" w:rsidP="00FD7981">
    <w:pPr>
      <w:pStyle w:val="Cabealho"/>
      <w:jc w:val="both"/>
    </w:pPr>
  </w:p>
  <w:p w14:paraId="0896BC18" w14:textId="19BAA05D" w:rsidR="00FD7981" w:rsidRPr="00F61151" w:rsidRDefault="00FD7981" w:rsidP="00FD7981">
    <w:pPr>
      <w:pStyle w:val="Cabealho"/>
      <w:jc w:val="both"/>
    </w:pPr>
  </w:p>
  <w:p w14:paraId="27A6D9BE" w14:textId="77777777" w:rsidR="00FD7981" w:rsidRPr="00F61151" w:rsidRDefault="00FD7981" w:rsidP="00FD7981">
    <w:pPr>
      <w:pStyle w:val="Cabealho"/>
      <w:jc w:val="both"/>
    </w:pPr>
  </w:p>
  <w:p w14:paraId="5F8B8596" w14:textId="42BC4F20" w:rsidR="00FD7981" w:rsidRPr="00F61151" w:rsidRDefault="00FD7981" w:rsidP="00FD7981">
    <w:pPr>
      <w:pStyle w:val="Cabealho"/>
      <w:jc w:val="both"/>
    </w:pPr>
    <w:r w:rsidRPr="00F61151"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F57E00"/>
    <w:multiLevelType w:val="hybridMultilevel"/>
    <w:tmpl w:val="457AC2FE"/>
    <w:lvl w:ilvl="0" w:tplc="DDE0789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B08200"/>
      </w:rPr>
    </w:lvl>
    <w:lvl w:ilvl="1" w:tplc="0416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7402375C"/>
    <w:multiLevelType w:val="hybridMultilevel"/>
    <w:tmpl w:val="863E637C"/>
    <w:lvl w:ilvl="0" w:tplc="0416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 w16cid:durableId="2082363919">
    <w:abstractNumId w:val="0"/>
  </w:num>
  <w:num w:numId="2" w16cid:durableId="1649549526">
    <w:abstractNumId w:val="1"/>
  </w:num>
  <w:num w:numId="3" w16cid:durableId="1007711198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981"/>
    <w:rsid w:val="000005D8"/>
    <w:rsid w:val="000008A7"/>
    <w:rsid w:val="000008C4"/>
    <w:rsid w:val="00000D6C"/>
    <w:rsid w:val="00003007"/>
    <w:rsid w:val="000037D4"/>
    <w:rsid w:val="00004EE2"/>
    <w:rsid w:val="00006C4D"/>
    <w:rsid w:val="0000713C"/>
    <w:rsid w:val="00007929"/>
    <w:rsid w:val="00007E97"/>
    <w:rsid w:val="00010592"/>
    <w:rsid w:val="0001065D"/>
    <w:rsid w:val="00011183"/>
    <w:rsid w:val="00011C64"/>
    <w:rsid w:val="00012CD4"/>
    <w:rsid w:val="0001339F"/>
    <w:rsid w:val="000151D5"/>
    <w:rsid w:val="000154AA"/>
    <w:rsid w:val="000166C9"/>
    <w:rsid w:val="0001707E"/>
    <w:rsid w:val="00021644"/>
    <w:rsid w:val="00023217"/>
    <w:rsid w:val="000260E9"/>
    <w:rsid w:val="0002751E"/>
    <w:rsid w:val="000278C6"/>
    <w:rsid w:val="0003089D"/>
    <w:rsid w:val="0003391D"/>
    <w:rsid w:val="00036FB6"/>
    <w:rsid w:val="00037DA9"/>
    <w:rsid w:val="00041BAA"/>
    <w:rsid w:val="00041DD4"/>
    <w:rsid w:val="000424E5"/>
    <w:rsid w:val="000431B2"/>
    <w:rsid w:val="00043BEA"/>
    <w:rsid w:val="000446FB"/>
    <w:rsid w:val="00044C81"/>
    <w:rsid w:val="0004509B"/>
    <w:rsid w:val="000453AB"/>
    <w:rsid w:val="00047B49"/>
    <w:rsid w:val="00051F04"/>
    <w:rsid w:val="00053C14"/>
    <w:rsid w:val="00055539"/>
    <w:rsid w:val="00057B15"/>
    <w:rsid w:val="00061776"/>
    <w:rsid w:val="00062965"/>
    <w:rsid w:val="00065190"/>
    <w:rsid w:val="00065FB3"/>
    <w:rsid w:val="000676BE"/>
    <w:rsid w:val="0007079A"/>
    <w:rsid w:val="000757FA"/>
    <w:rsid w:val="00080B5A"/>
    <w:rsid w:val="00083B5C"/>
    <w:rsid w:val="00083D8B"/>
    <w:rsid w:val="00085FFB"/>
    <w:rsid w:val="0008622B"/>
    <w:rsid w:val="0008716C"/>
    <w:rsid w:val="0009017A"/>
    <w:rsid w:val="0009098F"/>
    <w:rsid w:val="00090DCE"/>
    <w:rsid w:val="0009148C"/>
    <w:rsid w:val="00091BFA"/>
    <w:rsid w:val="000922A7"/>
    <w:rsid w:val="00093AD4"/>
    <w:rsid w:val="0009450E"/>
    <w:rsid w:val="0009539B"/>
    <w:rsid w:val="000972BD"/>
    <w:rsid w:val="000979DF"/>
    <w:rsid w:val="000A0D0D"/>
    <w:rsid w:val="000A15DC"/>
    <w:rsid w:val="000A1AAC"/>
    <w:rsid w:val="000A36DC"/>
    <w:rsid w:val="000A3D99"/>
    <w:rsid w:val="000A4EDA"/>
    <w:rsid w:val="000A564E"/>
    <w:rsid w:val="000A56A2"/>
    <w:rsid w:val="000A7197"/>
    <w:rsid w:val="000A771E"/>
    <w:rsid w:val="000B0046"/>
    <w:rsid w:val="000B3926"/>
    <w:rsid w:val="000B3C5D"/>
    <w:rsid w:val="000B3EDB"/>
    <w:rsid w:val="000B46FA"/>
    <w:rsid w:val="000C01CA"/>
    <w:rsid w:val="000C414E"/>
    <w:rsid w:val="000C487D"/>
    <w:rsid w:val="000C6B0C"/>
    <w:rsid w:val="000D113F"/>
    <w:rsid w:val="000D18B0"/>
    <w:rsid w:val="000D23EF"/>
    <w:rsid w:val="000D3CE0"/>
    <w:rsid w:val="000D6D51"/>
    <w:rsid w:val="000E095E"/>
    <w:rsid w:val="000E124C"/>
    <w:rsid w:val="000E1CFE"/>
    <w:rsid w:val="000E3342"/>
    <w:rsid w:val="000E3456"/>
    <w:rsid w:val="000E446A"/>
    <w:rsid w:val="000E4D01"/>
    <w:rsid w:val="000E557D"/>
    <w:rsid w:val="000E662C"/>
    <w:rsid w:val="000E7D33"/>
    <w:rsid w:val="000E7EA0"/>
    <w:rsid w:val="000F1EFD"/>
    <w:rsid w:val="000F3D34"/>
    <w:rsid w:val="000F51F1"/>
    <w:rsid w:val="000F5DFD"/>
    <w:rsid w:val="000F6094"/>
    <w:rsid w:val="000F676D"/>
    <w:rsid w:val="0010155F"/>
    <w:rsid w:val="0010191D"/>
    <w:rsid w:val="00102E88"/>
    <w:rsid w:val="00103DDF"/>
    <w:rsid w:val="00106171"/>
    <w:rsid w:val="00106B26"/>
    <w:rsid w:val="0010719C"/>
    <w:rsid w:val="00107527"/>
    <w:rsid w:val="00110513"/>
    <w:rsid w:val="00111FB3"/>
    <w:rsid w:val="00112212"/>
    <w:rsid w:val="00115705"/>
    <w:rsid w:val="00115CF7"/>
    <w:rsid w:val="00120E32"/>
    <w:rsid w:val="00123113"/>
    <w:rsid w:val="00123BE0"/>
    <w:rsid w:val="00124E84"/>
    <w:rsid w:val="001252A5"/>
    <w:rsid w:val="0012755C"/>
    <w:rsid w:val="0013104F"/>
    <w:rsid w:val="00132A79"/>
    <w:rsid w:val="00133161"/>
    <w:rsid w:val="00133475"/>
    <w:rsid w:val="00133F37"/>
    <w:rsid w:val="001349DF"/>
    <w:rsid w:val="00137BA3"/>
    <w:rsid w:val="00137E2A"/>
    <w:rsid w:val="00140ED4"/>
    <w:rsid w:val="0014531E"/>
    <w:rsid w:val="001458A5"/>
    <w:rsid w:val="00146154"/>
    <w:rsid w:val="001468DF"/>
    <w:rsid w:val="00147F8C"/>
    <w:rsid w:val="001504CC"/>
    <w:rsid w:val="00150A67"/>
    <w:rsid w:val="00152647"/>
    <w:rsid w:val="00152825"/>
    <w:rsid w:val="00152AC9"/>
    <w:rsid w:val="0015396B"/>
    <w:rsid w:val="00155F58"/>
    <w:rsid w:val="00161002"/>
    <w:rsid w:val="00162A1E"/>
    <w:rsid w:val="001646F0"/>
    <w:rsid w:val="0016543E"/>
    <w:rsid w:val="00166977"/>
    <w:rsid w:val="001677D5"/>
    <w:rsid w:val="0017100C"/>
    <w:rsid w:val="00173819"/>
    <w:rsid w:val="00174F42"/>
    <w:rsid w:val="00174F43"/>
    <w:rsid w:val="00175371"/>
    <w:rsid w:val="00175FD5"/>
    <w:rsid w:val="0018098D"/>
    <w:rsid w:val="001810C5"/>
    <w:rsid w:val="0018591D"/>
    <w:rsid w:val="00185A0F"/>
    <w:rsid w:val="001860A6"/>
    <w:rsid w:val="001875FE"/>
    <w:rsid w:val="00190304"/>
    <w:rsid w:val="00190AC8"/>
    <w:rsid w:val="00192C06"/>
    <w:rsid w:val="0019319F"/>
    <w:rsid w:val="0019476B"/>
    <w:rsid w:val="00194DB2"/>
    <w:rsid w:val="00196A73"/>
    <w:rsid w:val="001976EA"/>
    <w:rsid w:val="001A1041"/>
    <w:rsid w:val="001A19C8"/>
    <w:rsid w:val="001A30E5"/>
    <w:rsid w:val="001A38D3"/>
    <w:rsid w:val="001A43B0"/>
    <w:rsid w:val="001A500F"/>
    <w:rsid w:val="001A5E07"/>
    <w:rsid w:val="001A6D3C"/>
    <w:rsid w:val="001A6DF6"/>
    <w:rsid w:val="001B2B45"/>
    <w:rsid w:val="001B574D"/>
    <w:rsid w:val="001B578A"/>
    <w:rsid w:val="001B730D"/>
    <w:rsid w:val="001C1517"/>
    <w:rsid w:val="001C38AB"/>
    <w:rsid w:val="001C3D91"/>
    <w:rsid w:val="001C49DE"/>
    <w:rsid w:val="001C59BB"/>
    <w:rsid w:val="001D0EC1"/>
    <w:rsid w:val="001D158B"/>
    <w:rsid w:val="001D37A1"/>
    <w:rsid w:val="001D3C17"/>
    <w:rsid w:val="001D40F0"/>
    <w:rsid w:val="001D6C0D"/>
    <w:rsid w:val="001D7543"/>
    <w:rsid w:val="001E0553"/>
    <w:rsid w:val="001E0D80"/>
    <w:rsid w:val="001E263F"/>
    <w:rsid w:val="001E2BB1"/>
    <w:rsid w:val="001E3082"/>
    <w:rsid w:val="001E37D2"/>
    <w:rsid w:val="001E3822"/>
    <w:rsid w:val="001E48EC"/>
    <w:rsid w:val="001E4D47"/>
    <w:rsid w:val="001E571E"/>
    <w:rsid w:val="001E5892"/>
    <w:rsid w:val="001E5B9F"/>
    <w:rsid w:val="001F0E34"/>
    <w:rsid w:val="001F31C0"/>
    <w:rsid w:val="001F3E0D"/>
    <w:rsid w:val="001F4681"/>
    <w:rsid w:val="001F4AD0"/>
    <w:rsid w:val="001F55CF"/>
    <w:rsid w:val="001F5C1F"/>
    <w:rsid w:val="001F6CA7"/>
    <w:rsid w:val="001F7D34"/>
    <w:rsid w:val="002030D2"/>
    <w:rsid w:val="00205482"/>
    <w:rsid w:val="0020600C"/>
    <w:rsid w:val="00207245"/>
    <w:rsid w:val="0020783E"/>
    <w:rsid w:val="00207C91"/>
    <w:rsid w:val="00210709"/>
    <w:rsid w:val="00210B48"/>
    <w:rsid w:val="002111A3"/>
    <w:rsid w:val="00213326"/>
    <w:rsid w:val="002139F4"/>
    <w:rsid w:val="00213D45"/>
    <w:rsid w:val="0021400E"/>
    <w:rsid w:val="00214B41"/>
    <w:rsid w:val="002159AA"/>
    <w:rsid w:val="00216275"/>
    <w:rsid w:val="00216E0E"/>
    <w:rsid w:val="00220348"/>
    <w:rsid w:val="002211BF"/>
    <w:rsid w:val="00221CC9"/>
    <w:rsid w:val="00223CC1"/>
    <w:rsid w:val="00224761"/>
    <w:rsid w:val="002277EB"/>
    <w:rsid w:val="00233A5D"/>
    <w:rsid w:val="002352BF"/>
    <w:rsid w:val="00236ECB"/>
    <w:rsid w:val="002376C7"/>
    <w:rsid w:val="00244EA5"/>
    <w:rsid w:val="00244ED0"/>
    <w:rsid w:val="0024562A"/>
    <w:rsid w:val="00245646"/>
    <w:rsid w:val="002460EF"/>
    <w:rsid w:val="002468DA"/>
    <w:rsid w:val="0024752C"/>
    <w:rsid w:val="0025224A"/>
    <w:rsid w:val="00256096"/>
    <w:rsid w:val="0025769E"/>
    <w:rsid w:val="00257D66"/>
    <w:rsid w:val="00260FCD"/>
    <w:rsid w:val="0026381F"/>
    <w:rsid w:val="00263EE1"/>
    <w:rsid w:val="00263F18"/>
    <w:rsid w:val="00265197"/>
    <w:rsid w:val="00267D48"/>
    <w:rsid w:val="00274C61"/>
    <w:rsid w:val="00274E83"/>
    <w:rsid w:val="0027763A"/>
    <w:rsid w:val="0028236A"/>
    <w:rsid w:val="00283E12"/>
    <w:rsid w:val="00287FF9"/>
    <w:rsid w:val="00290E0D"/>
    <w:rsid w:val="00291755"/>
    <w:rsid w:val="00291B48"/>
    <w:rsid w:val="0029215C"/>
    <w:rsid w:val="0029599E"/>
    <w:rsid w:val="0029694E"/>
    <w:rsid w:val="00296E8E"/>
    <w:rsid w:val="002A0960"/>
    <w:rsid w:val="002A2E03"/>
    <w:rsid w:val="002A45D1"/>
    <w:rsid w:val="002A5377"/>
    <w:rsid w:val="002A57EE"/>
    <w:rsid w:val="002B0F24"/>
    <w:rsid w:val="002B141F"/>
    <w:rsid w:val="002B184C"/>
    <w:rsid w:val="002B241C"/>
    <w:rsid w:val="002B401E"/>
    <w:rsid w:val="002B6A55"/>
    <w:rsid w:val="002B7517"/>
    <w:rsid w:val="002C2633"/>
    <w:rsid w:val="002C2F27"/>
    <w:rsid w:val="002C3580"/>
    <w:rsid w:val="002C49C1"/>
    <w:rsid w:val="002D151B"/>
    <w:rsid w:val="002D1FB5"/>
    <w:rsid w:val="002D3147"/>
    <w:rsid w:val="002D42E3"/>
    <w:rsid w:val="002D4BDA"/>
    <w:rsid w:val="002E4592"/>
    <w:rsid w:val="002E6047"/>
    <w:rsid w:val="002E72C6"/>
    <w:rsid w:val="002F17CD"/>
    <w:rsid w:val="00301F56"/>
    <w:rsid w:val="00303B69"/>
    <w:rsid w:val="0030489A"/>
    <w:rsid w:val="00304B4D"/>
    <w:rsid w:val="00306B3B"/>
    <w:rsid w:val="00310FC5"/>
    <w:rsid w:val="00314FA3"/>
    <w:rsid w:val="003153C9"/>
    <w:rsid w:val="00320B04"/>
    <w:rsid w:val="00320CEF"/>
    <w:rsid w:val="0032144D"/>
    <w:rsid w:val="00324AE1"/>
    <w:rsid w:val="00325AC1"/>
    <w:rsid w:val="00327E34"/>
    <w:rsid w:val="003300DD"/>
    <w:rsid w:val="003304D8"/>
    <w:rsid w:val="00330564"/>
    <w:rsid w:val="003309D5"/>
    <w:rsid w:val="00330F1C"/>
    <w:rsid w:val="00331C13"/>
    <w:rsid w:val="003338FD"/>
    <w:rsid w:val="00333CD4"/>
    <w:rsid w:val="00334B9C"/>
    <w:rsid w:val="00335D19"/>
    <w:rsid w:val="0034201B"/>
    <w:rsid w:val="00343CB5"/>
    <w:rsid w:val="00344224"/>
    <w:rsid w:val="00344BAE"/>
    <w:rsid w:val="00345A4E"/>
    <w:rsid w:val="00346992"/>
    <w:rsid w:val="00346DFE"/>
    <w:rsid w:val="00351850"/>
    <w:rsid w:val="003552C0"/>
    <w:rsid w:val="00356D7E"/>
    <w:rsid w:val="003570BD"/>
    <w:rsid w:val="00361747"/>
    <w:rsid w:val="00363FF9"/>
    <w:rsid w:val="00364070"/>
    <w:rsid w:val="00364E5F"/>
    <w:rsid w:val="0036555E"/>
    <w:rsid w:val="0036581A"/>
    <w:rsid w:val="0036583B"/>
    <w:rsid w:val="00365DCB"/>
    <w:rsid w:val="00366198"/>
    <w:rsid w:val="00367931"/>
    <w:rsid w:val="00372717"/>
    <w:rsid w:val="00372D6A"/>
    <w:rsid w:val="00374047"/>
    <w:rsid w:val="003745CB"/>
    <w:rsid w:val="003747C4"/>
    <w:rsid w:val="00376B61"/>
    <w:rsid w:val="003779CC"/>
    <w:rsid w:val="00381942"/>
    <w:rsid w:val="00382B78"/>
    <w:rsid w:val="003834CD"/>
    <w:rsid w:val="00383682"/>
    <w:rsid w:val="0038394C"/>
    <w:rsid w:val="0038450B"/>
    <w:rsid w:val="003862BE"/>
    <w:rsid w:val="00386774"/>
    <w:rsid w:val="003876DB"/>
    <w:rsid w:val="00390515"/>
    <w:rsid w:val="00390548"/>
    <w:rsid w:val="0039276D"/>
    <w:rsid w:val="0039354C"/>
    <w:rsid w:val="003941BF"/>
    <w:rsid w:val="00394A52"/>
    <w:rsid w:val="0039551D"/>
    <w:rsid w:val="00395808"/>
    <w:rsid w:val="003A0ADE"/>
    <w:rsid w:val="003A1958"/>
    <w:rsid w:val="003A28B8"/>
    <w:rsid w:val="003A3CE2"/>
    <w:rsid w:val="003A51C3"/>
    <w:rsid w:val="003A537C"/>
    <w:rsid w:val="003A6BFC"/>
    <w:rsid w:val="003A6D88"/>
    <w:rsid w:val="003B0957"/>
    <w:rsid w:val="003B0A28"/>
    <w:rsid w:val="003B0C18"/>
    <w:rsid w:val="003B0E2C"/>
    <w:rsid w:val="003B1642"/>
    <w:rsid w:val="003B3AA5"/>
    <w:rsid w:val="003B59DD"/>
    <w:rsid w:val="003B5C0B"/>
    <w:rsid w:val="003B5F3F"/>
    <w:rsid w:val="003B6B22"/>
    <w:rsid w:val="003C043E"/>
    <w:rsid w:val="003C16C6"/>
    <w:rsid w:val="003C1E63"/>
    <w:rsid w:val="003C2C5C"/>
    <w:rsid w:val="003C3D13"/>
    <w:rsid w:val="003C48D2"/>
    <w:rsid w:val="003C549C"/>
    <w:rsid w:val="003C55D5"/>
    <w:rsid w:val="003C5945"/>
    <w:rsid w:val="003C70F0"/>
    <w:rsid w:val="003C732B"/>
    <w:rsid w:val="003C7E23"/>
    <w:rsid w:val="003D11A8"/>
    <w:rsid w:val="003D12E2"/>
    <w:rsid w:val="003D2969"/>
    <w:rsid w:val="003D2CBD"/>
    <w:rsid w:val="003D482F"/>
    <w:rsid w:val="003D5BD1"/>
    <w:rsid w:val="003D6598"/>
    <w:rsid w:val="003E0887"/>
    <w:rsid w:val="003E267F"/>
    <w:rsid w:val="003E3406"/>
    <w:rsid w:val="003E3C65"/>
    <w:rsid w:val="003E3ED9"/>
    <w:rsid w:val="003E5009"/>
    <w:rsid w:val="003E5228"/>
    <w:rsid w:val="003E5455"/>
    <w:rsid w:val="003E6A7F"/>
    <w:rsid w:val="003F0704"/>
    <w:rsid w:val="003F15BE"/>
    <w:rsid w:val="003F160C"/>
    <w:rsid w:val="003F21CF"/>
    <w:rsid w:val="003F2E81"/>
    <w:rsid w:val="003F2F87"/>
    <w:rsid w:val="003F5D9E"/>
    <w:rsid w:val="003F7341"/>
    <w:rsid w:val="003F7C2F"/>
    <w:rsid w:val="00402A84"/>
    <w:rsid w:val="00402C17"/>
    <w:rsid w:val="00402FFF"/>
    <w:rsid w:val="004054F8"/>
    <w:rsid w:val="004114BE"/>
    <w:rsid w:val="00412ABC"/>
    <w:rsid w:val="00412F1E"/>
    <w:rsid w:val="00413D5F"/>
    <w:rsid w:val="00413EA1"/>
    <w:rsid w:val="0041661E"/>
    <w:rsid w:val="00416B25"/>
    <w:rsid w:val="00416FB1"/>
    <w:rsid w:val="004200EC"/>
    <w:rsid w:val="0042138E"/>
    <w:rsid w:val="004236A8"/>
    <w:rsid w:val="004242CF"/>
    <w:rsid w:val="004243F2"/>
    <w:rsid w:val="00424F00"/>
    <w:rsid w:val="004256A6"/>
    <w:rsid w:val="00427A87"/>
    <w:rsid w:val="00431954"/>
    <w:rsid w:val="00433E8B"/>
    <w:rsid w:val="00434A60"/>
    <w:rsid w:val="00434DDB"/>
    <w:rsid w:val="00435563"/>
    <w:rsid w:val="00436162"/>
    <w:rsid w:val="004424BE"/>
    <w:rsid w:val="00445985"/>
    <w:rsid w:val="00450642"/>
    <w:rsid w:val="00450AFF"/>
    <w:rsid w:val="00452AAD"/>
    <w:rsid w:val="00453DB8"/>
    <w:rsid w:val="0045626A"/>
    <w:rsid w:val="00461E67"/>
    <w:rsid w:val="0046234F"/>
    <w:rsid w:val="00466792"/>
    <w:rsid w:val="004669A7"/>
    <w:rsid w:val="00472132"/>
    <w:rsid w:val="0047337C"/>
    <w:rsid w:val="00473F96"/>
    <w:rsid w:val="00474A98"/>
    <w:rsid w:val="0047550E"/>
    <w:rsid w:val="00477CDB"/>
    <w:rsid w:val="004801DF"/>
    <w:rsid w:val="00481EF7"/>
    <w:rsid w:val="00482BB0"/>
    <w:rsid w:val="00483C62"/>
    <w:rsid w:val="004858D4"/>
    <w:rsid w:val="0048691D"/>
    <w:rsid w:val="00486C07"/>
    <w:rsid w:val="00490813"/>
    <w:rsid w:val="00491C7C"/>
    <w:rsid w:val="00495517"/>
    <w:rsid w:val="004A05EA"/>
    <w:rsid w:val="004A225F"/>
    <w:rsid w:val="004A2480"/>
    <w:rsid w:val="004A293D"/>
    <w:rsid w:val="004A343F"/>
    <w:rsid w:val="004A4FEF"/>
    <w:rsid w:val="004A5B6C"/>
    <w:rsid w:val="004B0BF1"/>
    <w:rsid w:val="004B1992"/>
    <w:rsid w:val="004B1DBA"/>
    <w:rsid w:val="004B2EED"/>
    <w:rsid w:val="004B48C6"/>
    <w:rsid w:val="004B6775"/>
    <w:rsid w:val="004B79C9"/>
    <w:rsid w:val="004C10CE"/>
    <w:rsid w:val="004C19D9"/>
    <w:rsid w:val="004C2392"/>
    <w:rsid w:val="004C32D1"/>
    <w:rsid w:val="004C4F67"/>
    <w:rsid w:val="004C5ED7"/>
    <w:rsid w:val="004C6265"/>
    <w:rsid w:val="004C6CDE"/>
    <w:rsid w:val="004C70EC"/>
    <w:rsid w:val="004D04BA"/>
    <w:rsid w:val="004D21E4"/>
    <w:rsid w:val="004D5166"/>
    <w:rsid w:val="004D569E"/>
    <w:rsid w:val="004D57C4"/>
    <w:rsid w:val="004D6383"/>
    <w:rsid w:val="004D68B9"/>
    <w:rsid w:val="004E0BBA"/>
    <w:rsid w:val="004E4D31"/>
    <w:rsid w:val="004E5DE8"/>
    <w:rsid w:val="004F0AD7"/>
    <w:rsid w:val="004F184F"/>
    <w:rsid w:val="004F25F6"/>
    <w:rsid w:val="004F2DF8"/>
    <w:rsid w:val="004F3582"/>
    <w:rsid w:val="004F3B76"/>
    <w:rsid w:val="004F40A4"/>
    <w:rsid w:val="004F4D22"/>
    <w:rsid w:val="004F4E6A"/>
    <w:rsid w:val="004F5626"/>
    <w:rsid w:val="004F5E80"/>
    <w:rsid w:val="004F6864"/>
    <w:rsid w:val="004F68C2"/>
    <w:rsid w:val="0050274F"/>
    <w:rsid w:val="00503634"/>
    <w:rsid w:val="00504710"/>
    <w:rsid w:val="00505CCE"/>
    <w:rsid w:val="00506BAD"/>
    <w:rsid w:val="00506EDA"/>
    <w:rsid w:val="00507C0F"/>
    <w:rsid w:val="00510471"/>
    <w:rsid w:val="005110BC"/>
    <w:rsid w:val="005115B6"/>
    <w:rsid w:val="0051260C"/>
    <w:rsid w:val="0051308B"/>
    <w:rsid w:val="00513224"/>
    <w:rsid w:val="00515B84"/>
    <w:rsid w:val="00517883"/>
    <w:rsid w:val="00521857"/>
    <w:rsid w:val="00521AFB"/>
    <w:rsid w:val="00522AC4"/>
    <w:rsid w:val="00525B68"/>
    <w:rsid w:val="00527F03"/>
    <w:rsid w:val="005304ED"/>
    <w:rsid w:val="005318B1"/>
    <w:rsid w:val="00531EC1"/>
    <w:rsid w:val="005324DB"/>
    <w:rsid w:val="00532CC6"/>
    <w:rsid w:val="00533185"/>
    <w:rsid w:val="00540AC3"/>
    <w:rsid w:val="00540B5D"/>
    <w:rsid w:val="00541820"/>
    <w:rsid w:val="005425C1"/>
    <w:rsid w:val="00544185"/>
    <w:rsid w:val="005455F9"/>
    <w:rsid w:val="00545642"/>
    <w:rsid w:val="00545F38"/>
    <w:rsid w:val="00545F3D"/>
    <w:rsid w:val="00546BE9"/>
    <w:rsid w:val="0055013F"/>
    <w:rsid w:val="0055137E"/>
    <w:rsid w:val="00551B60"/>
    <w:rsid w:val="0055634F"/>
    <w:rsid w:val="00556615"/>
    <w:rsid w:val="005568B8"/>
    <w:rsid w:val="00556A3F"/>
    <w:rsid w:val="00556BDA"/>
    <w:rsid w:val="00556FEE"/>
    <w:rsid w:val="00557F00"/>
    <w:rsid w:val="00560231"/>
    <w:rsid w:val="005604DB"/>
    <w:rsid w:val="00560822"/>
    <w:rsid w:val="005608C2"/>
    <w:rsid w:val="00562D37"/>
    <w:rsid w:val="00563598"/>
    <w:rsid w:val="00564DA6"/>
    <w:rsid w:val="00565B72"/>
    <w:rsid w:val="0056761D"/>
    <w:rsid w:val="0056796B"/>
    <w:rsid w:val="005679D1"/>
    <w:rsid w:val="0057055A"/>
    <w:rsid w:val="0057113C"/>
    <w:rsid w:val="005723D0"/>
    <w:rsid w:val="00573379"/>
    <w:rsid w:val="00573398"/>
    <w:rsid w:val="00573640"/>
    <w:rsid w:val="00573A04"/>
    <w:rsid w:val="00576799"/>
    <w:rsid w:val="005777ED"/>
    <w:rsid w:val="00577AF0"/>
    <w:rsid w:val="005800A2"/>
    <w:rsid w:val="005819EF"/>
    <w:rsid w:val="0058203E"/>
    <w:rsid w:val="00583248"/>
    <w:rsid w:val="00583442"/>
    <w:rsid w:val="005835F6"/>
    <w:rsid w:val="00583736"/>
    <w:rsid w:val="00586535"/>
    <w:rsid w:val="005869D3"/>
    <w:rsid w:val="00587CD7"/>
    <w:rsid w:val="00590B35"/>
    <w:rsid w:val="00590C76"/>
    <w:rsid w:val="0059121B"/>
    <w:rsid w:val="0059165D"/>
    <w:rsid w:val="005927E5"/>
    <w:rsid w:val="00593AA3"/>
    <w:rsid w:val="005946F8"/>
    <w:rsid w:val="005949A3"/>
    <w:rsid w:val="00595A80"/>
    <w:rsid w:val="005964C1"/>
    <w:rsid w:val="00597082"/>
    <w:rsid w:val="005A060F"/>
    <w:rsid w:val="005A1EBF"/>
    <w:rsid w:val="005A2606"/>
    <w:rsid w:val="005A32FD"/>
    <w:rsid w:val="005A49DB"/>
    <w:rsid w:val="005A4F91"/>
    <w:rsid w:val="005A5F3D"/>
    <w:rsid w:val="005A602E"/>
    <w:rsid w:val="005A64CC"/>
    <w:rsid w:val="005B04CA"/>
    <w:rsid w:val="005B1F7F"/>
    <w:rsid w:val="005B34F1"/>
    <w:rsid w:val="005B3611"/>
    <w:rsid w:val="005B3686"/>
    <w:rsid w:val="005B3F3E"/>
    <w:rsid w:val="005B4446"/>
    <w:rsid w:val="005B5221"/>
    <w:rsid w:val="005B5279"/>
    <w:rsid w:val="005B670B"/>
    <w:rsid w:val="005C0AB2"/>
    <w:rsid w:val="005C1775"/>
    <w:rsid w:val="005C2218"/>
    <w:rsid w:val="005C27B4"/>
    <w:rsid w:val="005C298A"/>
    <w:rsid w:val="005C339C"/>
    <w:rsid w:val="005C474E"/>
    <w:rsid w:val="005C4F77"/>
    <w:rsid w:val="005C5576"/>
    <w:rsid w:val="005C58BC"/>
    <w:rsid w:val="005C5C83"/>
    <w:rsid w:val="005C5DBC"/>
    <w:rsid w:val="005C6714"/>
    <w:rsid w:val="005C6A31"/>
    <w:rsid w:val="005D0053"/>
    <w:rsid w:val="005D212B"/>
    <w:rsid w:val="005D22FE"/>
    <w:rsid w:val="005D2334"/>
    <w:rsid w:val="005D2A3E"/>
    <w:rsid w:val="005D4B10"/>
    <w:rsid w:val="005D4DF2"/>
    <w:rsid w:val="005D777D"/>
    <w:rsid w:val="005E05CF"/>
    <w:rsid w:val="005E16B7"/>
    <w:rsid w:val="005E2299"/>
    <w:rsid w:val="005E27B5"/>
    <w:rsid w:val="005E3623"/>
    <w:rsid w:val="005E3D2E"/>
    <w:rsid w:val="005E3D5D"/>
    <w:rsid w:val="005E3DAB"/>
    <w:rsid w:val="005E589D"/>
    <w:rsid w:val="005E61A6"/>
    <w:rsid w:val="005E6365"/>
    <w:rsid w:val="005F0490"/>
    <w:rsid w:val="005F060A"/>
    <w:rsid w:val="005F0640"/>
    <w:rsid w:val="005F08D9"/>
    <w:rsid w:val="005F5153"/>
    <w:rsid w:val="005F56AE"/>
    <w:rsid w:val="00600C0A"/>
    <w:rsid w:val="006015BC"/>
    <w:rsid w:val="00601E31"/>
    <w:rsid w:val="00602A26"/>
    <w:rsid w:val="00605804"/>
    <w:rsid w:val="0060717C"/>
    <w:rsid w:val="006072C5"/>
    <w:rsid w:val="006113AD"/>
    <w:rsid w:val="006114DE"/>
    <w:rsid w:val="006120BA"/>
    <w:rsid w:val="006121E4"/>
    <w:rsid w:val="00612C47"/>
    <w:rsid w:val="0061638E"/>
    <w:rsid w:val="00616F1F"/>
    <w:rsid w:val="00617F57"/>
    <w:rsid w:val="00622771"/>
    <w:rsid w:val="00623354"/>
    <w:rsid w:val="006245D0"/>
    <w:rsid w:val="00624E65"/>
    <w:rsid w:val="00625A50"/>
    <w:rsid w:val="00627925"/>
    <w:rsid w:val="006302EF"/>
    <w:rsid w:val="00630967"/>
    <w:rsid w:val="00635C86"/>
    <w:rsid w:val="006409C5"/>
    <w:rsid w:val="00642C27"/>
    <w:rsid w:val="006440E5"/>
    <w:rsid w:val="0064455B"/>
    <w:rsid w:val="00645929"/>
    <w:rsid w:val="00646893"/>
    <w:rsid w:val="006478B7"/>
    <w:rsid w:val="00647964"/>
    <w:rsid w:val="006501AF"/>
    <w:rsid w:val="006528AC"/>
    <w:rsid w:val="00653D43"/>
    <w:rsid w:val="00654A5F"/>
    <w:rsid w:val="0066081E"/>
    <w:rsid w:val="00663427"/>
    <w:rsid w:val="0066475C"/>
    <w:rsid w:val="00666A9E"/>
    <w:rsid w:val="006705D7"/>
    <w:rsid w:val="00672B3B"/>
    <w:rsid w:val="00673F4E"/>
    <w:rsid w:val="00674EA4"/>
    <w:rsid w:val="00674ECD"/>
    <w:rsid w:val="00676ACD"/>
    <w:rsid w:val="00677648"/>
    <w:rsid w:val="00677A82"/>
    <w:rsid w:val="006803E1"/>
    <w:rsid w:val="006804F2"/>
    <w:rsid w:val="0068171E"/>
    <w:rsid w:val="00682CA2"/>
    <w:rsid w:val="00684BFA"/>
    <w:rsid w:val="00686C49"/>
    <w:rsid w:val="006915B2"/>
    <w:rsid w:val="006919A4"/>
    <w:rsid w:val="00692B5A"/>
    <w:rsid w:val="00692BEC"/>
    <w:rsid w:val="0069405B"/>
    <w:rsid w:val="00694F7F"/>
    <w:rsid w:val="00695BAB"/>
    <w:rsid w:val="00696C4A"/>
    <w:rsid w:val="006A0E27"/>
    <w:rsid w:val="006A3272"/>
    <w:rsid w:val="006A39FE"/>
    <w:rsid w:val="006A5F54"/>
    <w:rsid w:val="006A60DB"/>
    <w:rsid w:val="006A78C7"/>
    <w:rsid w:val="006B00AD"/>
    <w:rsid w:val="006B09D7"/>
    <w:rsid w:val="006B19EB"/>
    <w:rsid w:val="006B437E"/>
    <w:rsid w:val="006B4DB0"/>
    <w:rsid w:val="006C1ECF"/>
    <w:rsid w:val="006C558C"/>
    <w:rsid w:val="006C65C3"/>
    <w:rsid w:val="006C682D"/>
    <w:rsid w:val="006D06CF"/>
    <w:rsid w:val="006D2A1C"/>
    <w:rsid w:val="006D4DD9"/>
    <w:rsid w:val="006D5583"/>
    <w:rsid w:val="006D6706"/>
    <w:rsid w:val="006D6EFE"/>
    <w:rsid w:val="006D71C0"/>
    <w:rsid w:val="006D7590"/>
    <w:rsid w:val="006D7DAF"/>
    <w:rsid w:val="006E1B4C"/>
    <w:rsid w:val="006E41C2"/>
    <w:rsid w:val="006E69DB"/>
    <w:rsid w:val="006E772A"/>
    <w:rsid w:val="006E7DFE"/>
    <w:rsid w:val="006F0025"/>
    <w:rsid w:val="006F117B"/>
    <w:rsid w:val="006F193F"/>
    <w:rsid w:val="006F1CE3"/>
    <w:rsid w:val="006F2162"/>
    <w:rsid w:val="006F3162"/>
    <w:rsid w:val="006F54C0"/>
    <w:rsid w:val="00700B2B"/>
    <w:rsid w:val="0070312C"/>
    <w:rsid w:val="007050FB"/>
    <w:rsid w:val="00706AD4"/>
    <w:rsid w:val="00710335"/>
    <w:rsid w:val="007111E8"/>
    <w:rsid w:val="007122EB"/>
    <w:rsid w:val="00712E0D"/>
    <w:rsid w:val="007137B8"/>
    <w:rsid w:val="00713EDE"/>
    <w:rsid w:val="00714667"/>
    <w:rsid w:val="00716420"/>
    <w:rsid w:val="00716AAF"/>
    <w:rsid w:val="00716C39"/>
    <w:rsid w:val="00716CC9"/>
    <w:rsid w:val="00717C5C"/>
    <w:rsid w:val="007206E3"/>
    <w:rsid w:val="0072158C"/>
    <w:rsid w:val="00722332"/>
    <w:rsid w:val="00723715"/>
    <w:rsid w:val="00723921"/>
    <w:rsid w:val="0072403F"/>
    <w:rsid w:val="00724E4E"/>
    <w:rsid w:val="007268FE"/>
    <w:rsid w:val="00726E73"/>
    <w:rsid w:val="00734105"/>
    <w:rsid w:val="007345DC"/>
    <w:rsid w:val="0073718C"/>
    <w:rsid w:val="007400AA"/>
    <w:rsid w:val="00743188"/>
    <w:rsid w:val="007447B0"/>
    <w:rsid w:val="0074512C"/>
    <w:rsid w:val="0074640C"/>
    <w:rsid w:val="00747B41"/>
    <w:rsid w:val="007514A4"/>
    <w:rsid w:val="0075476E"/>
    <w:rsid w:val="00755FCA"/>
    <w:rsid w:val="00756892"/>
    <w:rsid w:val="00757DE6"/>
    <w:rsid w:val="0076121A"/>
    <w:rsid w:val="00761628"/>
    <w:rsid w:val="00763283"/>
    <w:rsid w:val="007662FD"/>
    <w:rsid w:val="00767666"/>
    <w:rsid w:val="00770F94"/>
    <w:rsid w:val="00771953"/>
    <w:rsid w:val="00771AE6"/>
    <w:rsid w:val="007726D6"/>
    <w:rsid w:val="00772E0E"/>
    <w:rsid w:val="00772FBB"/>
    <w:rsid w:val="00773ECB"/>
    <w:rsid w:val="00774A9C"/>
    <w:rsid w:val="00775258"/>
    <w:rsid w:val="00775CBB"/>
    <w:rsid w:val="00776079"/>
    <w:rsid w:val="00776346"/>
    <w:rsid w:val="00780761"/>
    <w:rsid w:val="00782005"/>
    <w:rsid w:val="00784373"/>
    <w:rsid w:val="00785C20"/>
    <w:rsid w:val="007863C7"/>
    <w:rsid w:val="00786836"/>
    <w:rsid w:val="00786D2B"/>
    <w:rsid w:val="00792559"/>
    <w:rsid w:val="007940F7"/>
    <w:rsid w:val="0079713F"/>
    <w:rsid w:val="007A0977"/>
    <w:rsid w:val="007A10B5"/>
    <w:rsid w:val="007A2560"/>
    <w:rsid w:val="007A25D0"/>
    <w:rsid w:val="007A50A8"/>
    <w:rsid w:val="007A512F"/>
    <w:rsid w:val="007A6ADC"/>
    <w:rsid w:val="007B04E5"/>
    <w:rsid w:val="007B1B0D"/>
    <w:rsid w:val="007B3864"/>
    <w:rsid w:val="007B3E1F"/>
    <w:rsid w:val="007B48CC"/>
    <w:rsid w:val="007B61B2"/>
    <w:rsid w:val="007B7D23"/>
    <w:rsid w:val="007C01D9"/>
    <w:rsid w:val="007C0753"/>
    <w:rsid w:val="007C0CA9"/>
    <w:rsid w:val="007C1E19"/>
    <w:rsid w:val="007C3E69"/>
    <w:rsid w:val="007C7355"/>
    <w:rsid w:val="007D0352"/>
    <w:rsid w:val="007D10C5"/>
    <w:rsid w:val="007D31E8"/>
    <w:rsid w:val="007D4649"/>
    <w:rsid w:val="007D550D"/>
    <w:rsid w:val="007D637F"/>
    <w:rsid w:val="007D6416"/>
    <w:rsid w:val="007E2255"/>
    <w:rsid w:val="007E33E3"/>
    <w:rsid w:val="007E5693"/>
    <w:rsid w:val="007E6BC8"/>
    <w:rsid w:val="007E76DB"/>
    <w:rsid w:val="007F2F8B"/>
    <w:rsid w:val="007F31CE"/>
    <w:rsid w:val="007F342E"/>
    <w:rsid w:val="007F3481"/>
    <w:rsid w:val="007F7181"/>
    <w:rsid w:val="007F7A27"/>
    <w:rsid w:val="007F7C46"/>
    <w:rsid w:val="00800DDD"/>
    <w:rsid w:val="00801D46"/>
    <w:rsid w:val="008021A9"/>
    <w:rsid w:val="00802F14"/>
    <w:rsid w:val="00803FE0"/>
    <w:rsid w:val="00805489"/>
    <w:rsid w:val="00806BA3"/>
    <w:rsid w:val="00806E13"/>
    <w:rsid w:val="00807B31"/>
    <w:rsid w:val="008116A8"/>
    <w:rsid w:val="008116D9"/>
    <w:rsid w:val="00812276"/>
    <w:rsid w:val="00813CF1"/>
    <w:rsid w:val="008153BC"/>
    <w:rsid w:val="00815DFB"/>
    <w:rsid w:val="0081626D"/>
    <w:rsid w:val="0081655A"/>
    <w:rsid w:val="008169D8"/>
    <w:rsid w:val="008171C4"/>
    <w:rsid w:val="008177A8"/>
    <w:rsid w:val="00817916"/>
    <w:rsid w:val="0082073A"/>
    <w:rsid w:val="00820B9C"/>
    <w:rsid w:val="008211DE"/>
    <w:rsid w:val="00822BCF"/>
    <w:rsid w:val="0082406D"/>
    <w:rsid w:val="0082432F"/>
    <w:rsid w:val="00826312"/>
    <w:rsid w:val="008264A7"/>
    <w:rsid w:val="00831B75"/>
    <w:rsid w:val="008330DA"/>
    <w:rsid w:val="008339C2"/>
    <w:rsid w:val="00833D93"/>
    <w:rsid w:val="008341A8"/>
    <w:rsid w:val="00836FC1"/>
    <w:rsid w:val="00840BA8"/>
    <w:rsid w:val="00840EA8"/>
    <w:rsid w:val="00841E24"/>
    <w:rsid w:val="00842010"/>
    <w:rsid w:val="00842517"/>
    <w:rsid w:val="008429F2"/>
    <w:rsid w:val="00843CBB"/>
    <w:rsid w:val="00844916"/>
    <w:rsid w:val="0084796F"/>
    <w:rsid w:val="008500FB"/>
    <w:rsid w:val="0085057A"/>
    <w:rsid w:val="00850D7F"/>
    <w:rsid w:val="00851153"/>
    <w:rsid w:val="008515E0"/>
    <w:rsid w:val="00852695"/>
    <w:rsid w:val="00852CCB"/>
    <w:rsid w:val="0085430A"/>
    <w:rsid w:val="00854FB9"/>
    <w:rsid w:val="00856687"/>
    <w:rsid w:val="008578D3"/>
    <w:rsid w:val="00857FE5"/>
    <w:rsid w:val="008614FF"/>
    <w:rsid w:val="008633F9"/>
    <w:rsid w:val="00863E62"/>
    <w:rsid w:val="00864386"/>
    <w:rsid w:val="00866137"/>
    <w:rsid w:val="008665F6"/>
    <w:rsid w:val="008665FC"/>
    <w:rsid w:val="00866EF5"/>
    <w:rsid w:val="00867BA3"/>
    <w:rsid w:val="00867E92"/>
    <w:rsid w:val="008702BF"/>
    <w:rsid w:val="0087071B"/>
    <w:rsid w:val="008710B8"/>
    <w:rsid w:val="00871B90"/>
    <w:rsid w:val="00871EEF"/>
    <w:rsid w:val="00873D38"/>
    <w:rsid w:val="008747F7"/>
    <w:rsid w:val="0087523D"/>
    <w:rsid w:val="0087604B"/>
    <w:rsid w:val="00877375"/>
    <w:rsid w:val="0087748B"/>
    <w:rsid w:val="008815C9"/>
    <w:rsid w:val="00881CB3"/>
    <w:rsid w:val="0088216E"/>
    <w:rsid w:val="00882F25"/>
    <w:rsid w:val="00884059"/>
    <w:rsid w:val="00885339"/>
    <w:rsid w:val="00885D12"/>
    <w:rsid w:val="00886DFC"/>
    <w:rsid w:val="00887397"/>
    <w:rsid w:val="008918E1"/>
    <w:rsid w:val="00891D90"/>
    <w:rsid w:val="0089289B"/>
    <w:rsid w:val="00892B2E"/>
    <w:rsid w:val="00892C77"/>
    <w:rsid w:val="0089499E"/>
    <w:rsid w:val="008A0623"/>
    <w:rsid w:val="008A12D6"/>
    <w:rsid w:val="008A22A3"/>
    <w:rsid w:val="008A2470"/>
    <w:rsid w:val="008A2487"/>
    <w:rsid w:val="008A3B76"/>
    <w:rsid w:val="008A4E37"/>
    <w:rsid w:val="008A7490"/>
    <w:rsid w:val="008B08D2"/>
    <w:rsid w:val="008B2D7D"/>
    <w:rsid w:val="008B2DE0"/>
    <w:rsid w:val="008B3B00"/>
    <w:rsid w:val="008B3BE1"/>
    <w:rsid w:val="008B4816"/>
    <w:rsid w:val="008C129E"/>
    <w:rsid w:val="008C2751"/>
    <w:rsid w:val="008C28AC"/>
    <w:rsid w:val="008C3964"/>
    <w:rsid w:val="008C4191"/>
    <w:rsid w:val="008C5650"/>
    <w:rsid w:val="008C5728"/>
    <w:rsid w:val="008C6495"/>
    <w:rsid w:val="008C6BEE"/>
    <w:rsid w:val="008D0148"/>
    <w:rsid w:val="008D3925"/>
    <w:rsid w:val="008D4BC1"/>
    <w:rsid w:val="008D5AC5"/>
    <w:rsid w:val="008D698D"/>
    <w:rsid w:val="008D74A9"/>
    <w:rsid w:val="008E09F8"/>
    <w:rsid w:val="008E1AF8"/>
    <w:rsid w:val="008E22D3"/>
    <w:rsid w:val="008E22F1"/>
    <w:rsid w:val="008E2B5D"/>
    <w:rsid w:val="008E3474"/>
    <w:rsid w:val="008E5749"/>
    <w:rsid w:val="008E7C46"/>
    <w:rsid w:val="008F0429"/>
    <w:rsid w:val="008F49A8"/>
    <w:rsid w:val="008F71C5"/>
    <w:rsid w:val="008F7F25"/>
    <w:rsid w:val="0090009F"/>
    <w:rsid w:val="0090055B"/>
    <w:rsid w:val="009005A1"/>
    <w:rsid w:val="00901A33"/>
    <w:rsid w:val="00901DBB"/>
    <w:rsid w:val="0090373B"/>
    <w:rsid w:val="009041F0"/>
    <w:rsid w:val="0090560E"/>
    <w:rsid w:val="009056AE"/>
    <w:rsid w:val="00905B31"/>
    <w:rsid w:val="009118BE"/>
    <w:rsid w:val="00912D0D"/>
    <w:rsid w:val="0091638D"/>
    <w:rsid w:val="00916FE9"/>
    <w:rsid w:val="00917350"/>
    <w:rsid w:val="00920203"/>
    <w:rsid w:val="00920372"/>
    <w:rsid w:val="00920990"/>
    <w:rsid w:val="009220A8"/>
    <w:rsid w:val="00922A0B"/>
    <w:rsid w:val="00922F43"/>
    <w:rsid w:val="009234DF"/>
    <w:rsid w:val="00923A0B"/>
    <w:rsid w:val="00923F3F"/>
    <w:rsid w:val="0092624B"/>
    <w:rsid w:val="0092763F"/>
    <w:rsid w:val="009334BA"/>
    <w:rsid w:val="009346E0"/>
    <w:rsid w:val="00934C8F"/>
    <w:rsid w:val="00937E46"/>
    <w:rsid w:val="00940B62"/>
    <w:rsid w:val="0094162E"/>
    <w:rsid w:val="00941E68"/>
    <w:rsid w:val="00943378"/>
    <w:rsid w:val="0094393F"/>
    <w:rsid w:val="0094448D"/>
    <w:rsid w:val="00944509"/>
    <w:rsid w:val="00944774"/>
    <w:rsid w:val="009450A2"/>
    <w:rsid w:val="00946226"/>
    <w:rsid w:val="009469AA"/>
    <w:rsid w:val="00947519"/>
    <w:rsid w:val="009505D3"/>
    <w:rsid w:val="0095162B"/>
    <w:rsid w:val="00952F52"/>
    <w:rsid w:val="009533F7"/>
    <w:rsid w:val="00954062"/>
    <w:rsid w:val="009549DF"/>
    <w:rsid w:val="00955326"/>
    <w:rsid w:val="0095662D"/>
    <w:rsid w:val="00957110"/>
    <w:rsid w:val="00960351"/>
    <w:rsid w:val="009605D0"/>
    <w:rsid w:val="00963A4F"/>
    <w:rsid w:val="00964AD5"/>
    <w:rsid w:val="00965475"/>
    <w:rsid w:val="00967E1A"/>
    <w:rsid w:val="009714C2"/>
    <w:rsid w:val="00971B9E"/>
    <w:rsid w:val="00971E83"/>
    <w:rsid w:val="0097348B"/>
    <w:rsid w:val="009734ED"/>
    <w:rsid w:val="0097363E"/>
    <w:rsid w:val="00973D3B"/>
    <w:rsid w:val="009747C6"/>
    <w:rsid w:val="00974BF3"/>
    <w:rsid w:val="00975C8A"/>
    <w:rsid w:val="00976658"/>
    <w:rsid w:val="00976891"/>
    <w:rsid w:val="0097691A"/>
    <w:rsid w:val="009769A4"/>
    <w:rsid w:val="009822E1"/>
    <w:rsid w:val="0098239E"/>
    <w:rsid w:val="00983B64"/>
    <w:rsid w:val="00986D3A"/>
    <w:rsid w:val="0099015F"/>
    <w:rsid w:val="00990824"/>
    <w:rsid w:val="00990D2E"/>
    <w:rsid w:val="009916EE"/>
    <w:rsid w:val="00991B51"/>
    <w:rsid w:val="00992D8E"/>
    <w:rsid w:val="00994803"/>
    <w:rsid w:val="009950B3"/>
    <w:rsid w:val="009962A2"/>
    <w:rsid w:val="009A1219"/>
    <w:rsid w:val="009A2882"/>
    <w:rsid w:val="009A2C33"/>
    <w:rsid w:val="009A42D3"/>
    <w:rsid w:val="009A6ED8"/>
    <w:rsid w:val="009A79C3"/>
    <w:rsid w:val="009B0483"/>
    <w:rsid w:val="009B0B2F"/>
    <w:rsid w:val="009B0B81"/>
    <w:rsid w:val="009B2757"/>
    <w:rsid w:val="009B2ACC"/>
    <w:rsid w:val="009B2CE6"/>
    <w:rsid w:val="009B3879"/>
    <w:rsid w:val="009C001E"/>
    <w:rsid w:val="009C0ED6"/>
    <w:rsid w:val="009C1C02"/>
    <w:rsid w:val="009C1D17"/>
    <w:rsid w:val="009C2EB9"/>
    <w:rsid w:val="009C4AD0"/>
    <w:rsid w:val="009C5063"/>
    <w:rsid w:val="009C577F"/>
    <w:rsid w:val="009D0B86"/>
    <w:rsid w:val="009D479C"/>
    <w:rsid w:val="009D4E46"/>
    <w:rsid w:val="009D4E98"/>
    <w:rsid w:val="009D5F4A"/>
    <w:rsid w:val="009D6473"/>
    <w:rsid w:val="009D65E7"/>
    <w:rsid w:val="009D6786"/>
    <w:rsid w:val="009D6E31"/>
    <w:rsid w:val="009D7039"/>
    <w:rsid w:val="009D74F4"/>
    <w:rsid w:val="009D7894"/>
    <w:rsid w:val="009E000B"/>
    <w:rsid w:val="009E048A"/>
    <w:rsid w:val="009E0AF7"/>
    <w:rsid w:val="009E1AB1"/>
    <w:rsid w:val="009E30F0"/>
    <w:rsid w:val="009E5291"/>
    <w:rsid w:val="009E589A"/>
    <w:rsid w:val="009E62AF"/>
    <w:rsid w:val="009E6D52"/>
    <w:rsid w:val="009E6E6E"/>
    <w:rsid w:val="009E750A"/>
    <w:rsid w:val="009E7565"/>
    <w:rsid w:val="009F015D"/>
    <w:rsid w:val="009F0FC6"/>
    <w:rsid w:val="009F3199"/>
    <w:rsid w:val="009F3968"/>
    <w:rsid w:val="009F5795"/>
    <w:rsid w:val="009F6658"/>
    <w:rsid w:val="009F71F0"/>
    <w:rsid w:val="009F7C05"/>
    <w:rsid w:val="009F7F21"/>
    <w:rsid w:val="00A008D4"/>
    <w:rsid w:val="00A02CA5"/>
    <w:rsid w:val="00A059CD"/>
    <w:rsid w:val="00A06A05"/>
    <w:rsid w:val="00A10E2D"/>
    <w:rsid w:val="00A124E2"/>
    <w:rsid w:val="00A1272A"/>
    <w:rsid w:val="00A12B45"/>
    <w:rsid w:val="00A12DD8"/>
    <w:rsid w:val="00A15E78"/>
    <w:rsid w:val="00A16993"/>
    <w:rsid w:val="00A16DE2"/>
    <w:rsid w:val="00A16EB0"/>
    <w:rsid w:val="00A24670"/>
    <w:rsid w:val="00A24B85"/>
    <w:rsid w:val="00A25F87"/>
    <w:rsid w:val="00A26358"/>
    <w:rsid w:val="00A30C6C"/>
    <w:rsid w:val="00A334AA"/>
    <w:rsid w:val="00A3387E"/>
    <w:rsid w:val="00A33C6D"/>
    <w:rsid w:val="00A34DE8"/>
    <w:rsid w:val="00A35590"/>
    <w:rsid w:val="00A36035"/>
    <w:rsid w:val="00A36A8D"/>
    <w:rsid w:val="00A40CD1"/>
    <w:rsid w:val="00A41C5E"/>
    <w:rsid w:val="00A43F69"/>
    <w:rsid w:val="00A45DC7"/>
    <w:rsid w:val="00A461C5"/>
    <w:rsid w:val="00A46B7C"/>
    <w:rsid w:val="00A508CB"/>
    <w:rsid w:val="00A509F4"/>
    <w:rsid w:val="00A50BFE"/>
    <w:rsid w:val="00A5334F"/>
    <w:rsid w:val="00A54B1B"/>
    <w:rsid w:val="00A55594"/>
    <w:rsid w:val="00A5575D"/>
    <w:rsid w:val="00A5589E"/>
    <w:rsid w:val="00A559D8"/>
    <w:rsid w:val="00A55CA5"/>
    <w:rsid w:val="00A56778"/>
    <w:rsid w:val="00A6012B"/>
    <w:rsid w:val="00A60C43"/>
    <w:rsid w:val="00A61573"/>
    <w:rsid w:val="00A621A0"/>
    <w:rsid w:val="00A6305E"/>
    <w:rsid w:val="00A638DA"/>
    <w:rsid w:val="00A63906"/>
    <w:rsid w:val="00A6689F"/>
    <w:rsid w:val="00A67671"/>
    <w:rsid w:val="00A701A3"/>
    <w:rsid w:val="00A71808"/>
    <w:rsid w:val="00A725F2"/>
    <w:rsid w:val="00A80B3E"/>
    <w:rsid w:val="00A81ABD"/>
    <w:rsid w:val="00A83342"/>
    <w:rsid w:val="00A843B7"/>
    <w:rsid w:val="00A84466"/>
    <w:rsid w:val="00A848D2"/>
    <w:rsid w:val="00A85D4A"/>
    <w:rsid w:val="00A86586"/>
    <w:rsid w:val="00A87ECE"/>
    <w:rsid w:val="00A91256"/>
    <w:rsid w:val="00A91582"/>
    <w:rsid w:val="00A92A00"/>
    <w:rsid w:val="00A93B3F"/>
    <w:rsid w:val="00A9439A"/>
    <w:rsid w:val="00A95098"/>
    <w:rsid w:val="00A952ED"/>
    <w:rsid w:val="00A958C7"/>
    <w:rsid w:val="00A96ADE"/>
    <w:rsid w:val="00AA0023"/>
    <w:rsid w:val="00AA1AA8"/>
    <w:rsid w:val="00AA3A84"/>
    <w:rsid w:val="00AA411F"/>
    <w:rsid w:val="00AA4967"/>
    <w:rsid w:val="00AA4D40"/>
    <w:rsid w:val="00AA55D0"/>
    <w:rsid w:val="00AA567D"/>
    <w:rsid w:val="00AA58B9"/>
    <w:rsid w:val="00AB0087"/>
    <w:rsid w:val="00AB0C38"/>
    <w:rsid w:val="00AB1855"/>
    <w:rsid w:val="00AB1BDA"/>
    <w:rsid w:val="00AB2505"/>
    <w:rsid w:val="00AB2EEB"/>
    <w:rsid w:val="00AB3153"/>
    <w:rsid w:val="00AB3C3D"/>
    <w:rsid w:val="00AB503B"/>
    <w:rsid w:val="00AB53C6"/>
    <w:rsid w:val="00AB5E5D"/>
    <w:rsid w:val="00AB67EA"/>
    <w:rsid w:val="00AB687D"/>
    <w:rsid w:val="00AC00F7"/>
    <w:rsid w:val="00AC1C66"/>
    <w:rsid w:val="00AC2224"/>
    <w:rsid w:val="00AC37B8"/>
    <w:rsid w:val="00AC3B0F"/>
    <w:rsid w:val="00AC45EA"/>
    <w:rsid w:val="00AC4AC5"/>
    <w:rsid w:val="00AC6A34"/>
    <w:rsid w:val="00AC7182"/>
    <w:rsid w:val="00AD005C"/>
    <w:rsid w:val="00AD0E80"/>
    <w:rsid w:val="00AD1A2A"/>
    <w:rsid w:val="00AD3907"/>
    <w:rsid w:val="00AD4B3D"/>
    <w:rsid w:val="00AD55EF"/>
    <w:rsid w:val="00AD6BDC"/>
    <w:rsid w:val="00AD6F70"/>
    <w:rsid w:val="00AD7863"/>
    <w:rsid w:val="00AE0AE0"/>
    <w:rsid w:val="00AE5B9F"/>
    <w:rsid w:val="00AF0682"/>
    <w:rsid w:val="00AF1641"/>
    <w:rsid w:val="00AF2A6F"/>
    <w:rsid w:val="00AF44C5"/>
    <w:rsid w:val="00AF61B9"/>
    <w:rsid w:val="00AF6C61"/>
    <w:rsid w:val="00AF6F17"/>
    <w:rsid w:val="00AF78C2"/>
    <w:rsid w:val="00AF7C79"/>
    <w:rsid w:val="00B007BC"/>
    <w:rsid w:val="00B00BB7"/>
    <w:rsid w:val="00B0207F"/>
    <w:rsid w:val="00B02E11"/>
    <w:rsid w:val="00B03CD2"/>
    <w:rsid w:val="00B04A3C"/>
    <w:rsid w:val="00B057F0"/>
    <w:rsid w:val="00B05ABC"/>
    <w:rsid w:val="00B07980"/>
    <w:rsid w:val="00B10C51"/>
    <w:rsid w:val="00B11056"/>
    <w:rsid w:val="00B11388"/>
    <w:rsid w:val="00B12408"/>
    <w:rsid w:val="00B12BC6"/>
    <w:rsid w:val="00B1390F"/>
    <w:rsid w:val="00B15B79"/>
    <w:rsid w:val="00B161F6"/>
    <w:rsid w:val="00B20BB7"/>
    <w:rsid w:val="00B21CED"/>
    <w:rsid w:val="00B21D3E"/>
    <w:rsid w:val="00B22C43"/>
    <w:rsid w:val="00B26AF7"/>
    <w:rsid w:val="00B27EC7"/>
    <w:rsid w:val="00B329E3"/>
    <w:rsid w:val="00B336E6"/>
    <w:rsid w:val="00B34275"/>
    <w:rsid w:val="00B342F8"/>
    <w:rsid w:val="00B36A21"/>
    <w:rsid w:val="00B36AE2"/>
    <w:rsid w:val="00B37552"/>
    <w:rsid w:val="00B4224D"/>
    <w:rsid w:val="00B4237E"/>
    <w:rsid w:val="00B42672"/>
    <w:rsid w:val="00B429C2"/>
    <w:rsid w:val="00B436C0"/>
    <w:rsid w:val="00B439F0"/>
    <w:rsid w:val="00B43A6E"/>
    <w:rsid w:val="00B446D0"/>
    <w:rsid w:val="00B45AD7"/>
    <w:rsid w:val="00B478C1"/>
    <w:rsid w:val="00B5041D"/>
    <w:rsid w:val="00B50C1B"/>
    <w:rsid w:val="00B51DAD"/>
    <w:rsid w:val="00B52278"/>
    <w:rsid w:val="00B53950"/>
    <w:rsid w:val="00B560C4"/>
    <w:rsid w:val="00B5623C"/>
    <w:rsid w:val="00B56891"/>
    <w:rsid w:val="00B56FF7"/>
    <w:rsid w:val="00B601E4"/>
    <w:rsid w:val="00B61353"/>
    <w:rsid w:val="00B61E6E"/>
    <w:rsid w:val="00B64C42"/>
    <w:rsid w:val="00B66839"/>
    <w:rsid w:val="00B67638"/>
    <w:rsid w:val="00B70165"/>
    <w:rsid w:val="00B70467"/>
    <w:rsid w:val="00B708B9"/>
    <w:rsid w:val="00B7255C"/>
    <w:rsid w:val="00B731D9"/>
    <w:rsid w:val="00B73369"/>
    <w:rsid w:val="00B73D77"/>
    <w:rsid w:val="00B73DA8"/>
    <w:rsid w:val="00B746B6"/>
    <w:rsid w:val="00B75A08"/>
    <w:rsid w:val="00B75CEF"/>
    <w:rsid w:val="00B77695"/>
    <w:rsid w:val="00B810A6"/>
    <w:rsid w:val="00B815E2"/>
    <w:rsid w:val="00B8289F"/>
    <w:rsid w:val="00B84160"/>
    <w:rsid w:val="00B844BB"/>
    <w:rsid w:val="00B86854"/>
    <w:rsid w:val="00B923E9"/>
    <w:rsid w:val="00B92FAE"/>
    <w:rsid w:val="00B94276"/>
    <w:rsid w:val="00B9470A"/>
    <w:rsid w:val="00B950F0"/>
    <w:rsid w:val="00B952F9"/>
    <w:rsid w:val="00B9586B"/>
    <w:rsid w:val="00B959EE"/>
    <w:rsid w:val="00B964C8"/>
    <w:rsid w:val="00BA22FC"/>
    <w:rsid w:val="00BA2B6E"/>
    <w:rsid w:val="00BA3EAA"/>
    <w:rsid w:val="00BB041E"/>
    <w:rsid w:val="00BB059E"/>
    <w:rsid w:val="00BB05B1"/>
    <w:rsid w:val="00BB0A4C"/>
    <w:rsid w:val="00BB3085"/>
    <w:rsid w:val="00BB3A19"/>
    <w:rsid w:val="00BB4128"/>
    <w:rsid w:val="00BB47E3"/>
    <w:rsid w:val="00BB5D51"/>
    <w:rsid w:val="00BB760D"/>
    <w:rsid w:val="00BB79FD"/>
    <w:rsid w:val="00BC1248"/>
    <w:rsid w:val="00BC201D"/>
    <w:rsid w:val="00BC43C4"/>
    <w:rsid w:val="00BC50DA"/>
    <w:rsid w:val="00BC711E"/>
    <w:rsid w:val="00BD0EFD"/>
    <w:rsid w:val="00BD2420"/>
    <w:rsid w:val="00BD2710"/>
    <w:rsid w:val="00BD2A87"/>
    <w:rsid w:val="00BE31CF"/>
    <w:rsid w:val="00BE3A4F"/>
    <w:rsid w:val="00BE4DD4"/>
    <w:rsid w:val="00BE5C9C"/>
    <w:rsid w:val="00BE713C"/>
    <w:rsid w:val="00BF07DE"/>
    <w:rsid w:val="00BF0D53"/>
    <w:rsid w:val="00BF1AFD"/>
    <w:rsid w:val="00BF39D9"/>
    <w:rsid w:val="00BF4901"/>
    <w:rsid w:val="00BF6000"/>
    <w:rsid w:val="00BF6302"/>
    <w:rsid w:val="00BF638B"/>
    <w:rsid w:val="00BF6C59"/>
    <w:rsid w:val="00BF7766"/>
    <w:rsid w:val="00C00195"/>
    <w:rsid w:val="00C01156"/>
    <w:rsid w:val="00C02CB4"/>
    <w:rsid w:val="00C03068"/>
    <w:rsid w:val="00C04286"/>
    <w:rsid w:val="00C04ECD"/>
    <w:rsid w:val="00C05152"/>
    <w:rsid w:val="00C06171"/>
    <w:rsid w:val="00C06F8F"/>
    <w:rsid w:val="00C07A6E"/>
    <w:rsid w:val="00C07C1A"/>
    <w:rsid w:val="00C1004C"/>
    <w:rsid w:val="00C12F51"/>
    <w:rsid w:val="00C135C3"/>
    <w:rsid w:val="00C1585F"/>
    <w:rsid w:val="00C15FE9"/>
    <w:rsid w:val="00C1636D"/>
    <w:rsid w:val="00C166C8"/>
    <w:rsid w:val="00C17A7D"/>
    <w:rsid w:val="00C20421"/>
    <w:rsid w:val="00C2130C"/>
    <w:rsid w:val="00C21327"/>
    <w:rsid w:val="00C21BBF"/>
    <w:rsid w:val="00C22E04"/>
    <w:rsid w:val="00C24E97"/>
    <w:rsid w:val="00C25618"/>
    <w:rsid w:val="00C25680"/>
    <w:rsid w:val="00C26A26"/>
    <w:rsid w:val="00C30125"/>
    <w:rsid w:val="00C3178D"/>
    <w:rsid w:val="00C33872"/>
    <w:rsid w:val="00C338DC"/>
    <w:rsid w:val="00C344C8"/>
    <w:rsid w:val="00C34E89"/>
    <w:rsid w:val="00C35468"/>
    <w:rsid w:val="00C360A2"/>
    <w:rsid w:val="00C36291"/>
    <w:rsid w:val="00C36FD5"/>
    <w:rsid w:val="00C37F70"/>
    <w:rsid w:val="00C4002F"/>
    <w:rsid w:val="00C40BEF"/>
    <w:rsid w:val="00C40EEF"/>
    <w:rsid w:val="00C42106"/>
    <w:rsid w:val="00C428DF"/>
    <w:rsid w:val="00C444B7"/>
    <w:rsid w:val="00C44860"/>
    <w:rsid w:val="00C44923"/>
    <w:rsid w:val="00C45DA1"/>
    <w:rsid w:val="00C50C4E"/>
    <w:rsid w:val="00C50DD9"/>
    <w:rsid w:val="00C51988"/>
    <w:rsid w:val="00C5244C"/>
    <w:rsid w:val="00C52BBE"/>
    <w:rsid w:val="00C5302E"/>
    <w:rsid w:val="00C53676"/>
    <w:rsid w:val="00C54134"/>
    <w:rsid w:val="00C54234"/>
    <w:rsid w:val="00C54C50"/>
    <w:rsid w:val="00C55088"/>
    <w:rsid w:val="00C55778"/>
    <w:rsid w:val="00C56065"/>
    <w:rsid w:val="00C56497"/>
    <w:rsid w:val="00C57B72"/>
    <w:rsid w:val="00C6005C"/>
    <w:rsid w:val="00C61B7A"/>
    <w:rsid w:val="00C63355"/>
    <w:rsid w:val="00C648F3"/>
    <w:rsid w:val="00C6568B"/>
    <w:rsid w:val="00C65CBD"/>
    <w:rsid w:val="00C65E59"/>
    <w:rsid w:val="00C66D19"/>
    <w:rsid w:val="00C708A0"/>
    <w:rsid w:val="00C71647"/>
    <w:rsid w:val="00C72B71"/>
    <w:rsid w:val="00C73F7E"/>
    <w:rsid w:val="00C745C3"/>
    <w:rsid w:val="00C7648D"/>
    <w:rsid w:val="00C774B5"/>
    <w:rsid w:val="00C81134"/>
    <w:rsid w:val="00C8268F"/>
    <w:rsid w:val="00C8343E"/>
    <w:rsid w:val="00C83567"/>
    <w:rsid w:val="00C83B1B"/>
    <w:rsid w:val="00C84155"/>
    <w:rsid w:val="00C84F9D"/>
    <w:rsid w:val="00C86ADC"/>
    <w:rsid w:val="00C90863"/>
    <w:rsid w:val="00C93854"/>
    <w:rsid w:val="00C944BC"/>
    <w:rsid w:val="00C9460A"/>
    <w:rsid w:val="00C9490B"/>
    <w:rsid w:val="00C94DFE"/>
    <w:rsid w:val="00C95A2B"/>
    <w:rsid w:val="00C97032"/>
    <w:rsid w:val="00CA1560"/>
    <w:rsid w:val="00CA3433"/>
    <w:rsid w:val="00CA4489"/>
    <w:rsid w:val="00CA4A58"/>
    <w:rsid w:val="00CA5FCF"/>
    <w:rsid w:val="00CA62D8"/>
    <w:rsid w:val="00CA7EF8"/>
    <w:rsid w:val="00CB1F28"/>
    <w:rsid w:val="00CB262D"/>
    <w:rsid w:val="00CB3B0E"/>
    <w:rsid w:val="00CB576D"/>
    <w:rsid w:val="00CB5C2D"/>
    <w:rsid w:val="00CB7614"/>
    <w:rsid w:val="00CC00E3"/>
    <w:rsid w:val="00CC0C17"/>
    <w:rsid w:val="00CC308C"/>
    <w:rsid w:val="00CC3803"/>
    <w:rsid w:val="00CC415F"/>
    <w:rsid w:val="00CC4CE9"/>
    <w:rsid w:val="00CC4D6D"/>
    <w:rsid w:val="00CC5E85"/>
    <w:rsid w:val="00CC6599"/>
    <w:rsid w:val="00CC6B58"/>
    <w:rsid w:val="00CC771C"/>
    <w:rsid w:val="00CD0281"/>
    <w:rsid w:val="00CD1B18"/>
    <w:rsid w:val="00CD1CE4"/>
    <w:rsid w:val="00CD3219"/>
    <w:rsid w:val="00CD3DDE"/>
    <w:rsid w:val="00CD58E8"/>
    <w:rsid w:val="00CD5909"/>
    <w:rsid w:val="00CD62FD"/>
    <w:rsid w:val="00CD66DA"/>
    <w:rsid w:val="00CD6A40"/>
    <w:rsid w:val="00CD7BD6"/>
    <w:rsid w:val="00CD7D0C"/>
    <w:rsid w:val="00CE1925"/>
    <w:rsid w:val="00CE58C6"/>
    <w:rsid w:val="00CE639E"/>
    <w:rsid w:val="00CE77CD"/>
    <w:rsid w:val="00CF1458"/>
    <w:rsid w:val="00CF1AF6"/>
    <w:rsid w:val="00CF2B4D"/>
    <w:rsid w:val="00CF3727"/>
    <w:rsid w:val="00CF38BC"/>
    <w:rsid w:val="00CF3EAC"/>
    <w:rsid w:val="00CF46AA"/>
    <w:rsid w:val="00CF5394"/>
    <w:rsid w:val="00CF63AA"/>
    <w:rsid w:val="00CF6CEB"/>
    <w:rsid w:val="00D0057C"/>
    <w:rsid w:val="00D008FF"/>
    <w:rsid w:val="00D01461"/>
    <w:rsid w:val="00D02193"/>
    <w:rsid w:val="00D02981"/>
    <w:rsid w:val="00D03477"/>
    <w:rsid w:val="00D05409"/>
    <w:rsid w:val="00D056B3"/>
    <w:rsid w:val="00D06299"/>
    <w:rsid w:val="00D06D16"/>
    <w:rsid w:val="00D06F6A"/>
    <w:rsid w:val="00D10197"/>
    <w:rsid w:val="00D10B58"/>
    <w:rsid w:val="00D10BBE"/>
    <w:rsid w:val="00D10DBB"/>
    <w:rsid w:val="00D113DC"/>
    <w:rsid w:val="00D115E0"/>
    <w:rsid w:val="00D122A6"/>
    <w:rsid w:val="00D128BC"/>
    <w:rsid w:val="00D12F8A"/>
    <w:rsid w:val="00D14F14"/>
    <w:rsid w:val="00D15577"/>
    <w:rsid w:val="00D15A29"/>
    <w:rsid w:val="00D15C9A"/>
    <w:rsid w:val="00D16B81"/>
    <w:rsid w:val="00D177E5"/>
    <w:rsid w:val="00D2303B"/>
    <w:rsid w:val="00D237BC"/>
    <w:rsid w:val="00D23E4F"/>
    <w:rsid w:val="00D24594"/>
    <w:rsid w:val="00D25418"/>
    <w:rsid w:val="00D26C94"/>
    <w:rsid w:val="00D3130E"/>
    <w:rsid w:val="00D321B7"/>
    <w:rsid w:val="00D3287C"/>
    <w:rsid w:val="00D33C97"/>
    <w:rsid w:val="00D33C98"/>
    <w:rsid w:val="00D3475F"/>
    <w:rsid w:val="00D36026"/>
    <w:rsid w:val="00D36624"/>
    <w:rsid w:val="00D36ADE"/>
    <w:rsid w:val="00D36BB1"/>
    <w:rsid w:val="00D37B19"/>
    <w:rsid w:val="00D406AE"/>
    <w:rsid w:val="00D419D4"/>
    <w:rsid w:val="00D42FA3"/>
    <w:rsid w:val="00D431DD"/>
    <w:rsid w:val="00D4369B"/>
    <w:rsid w:val="00D43974"/>
    <w:rsid w:val="00D44324"/>
    <w:rsid w:val="00D455D0"/>
    <w:rsid w:val="00D45F6A"/>
    <w:rsid w:val="00D5118A"/>
    <w:rsid w:val="00D517BC"/>
    <w:rsid w:val="00D51987"/>
    <w:rsid w:val="00D51F9F"/>
    <w:rsid w:val="00D52A1A"/>
    <w:rsid w:val="00D54077"/>
    <w:rsid w:val="00D55830"/>
    <w:rsid w:val="00D558FE"/>
    <w:rsid w:val="00D55E7E"/>
    <w:rsid w:val="00D565AF"/>
    <w:rsid w:val="00D57E38"/>
    <w:rsid w:val="00D60B5D"/>
    <w:rsid w:val="00D6178B"/>
    <w:rsid w:val="00D64591"/>
    <w:rsid w:val="00D65642"/>
    <w:rsid w:val="00D65B5C"/>
    <w:rsid w:val="00D66E5A"/>
    <w:rsid w:val="00D6767F"/>
    <w:rsid w:val="00D70977"/>
    <w:rsid w:val="00D71ED8"/>
    <w:rsid w:val="00D728D7"/>
    <w:rsid w:val="00D747DB"/>
    <w:rsid w:val="00D75839"/>
    <w:rsid w:val="00D7607F"/>
    <w:rsid w:val="00D7656B"/>
    <w:rsid w:val="00D768D9"/>
    <w:rsid w:val="00D7750A"/>
    <w:rsid w:val="00D801B2"/>
    <w:rsid w:val="00D826A9"/>
    <w:rsid w:val="00D829FA"/>
    <w:rsid w:val="00D82AC0"/>
    <w:rsid w:val="00D833DD"/>
    <w:rsid w:val="00D840F5"/>
    <w:rsid w:val="00D8411C"/>
    <w:rsid w:val="00D85C06"/>
    <w:rsid w:val="00D86DD5"/>
    <w:rsid w:val="00D870B4"/>
    <w:rsid w:val="00D8738F"/>
    <w:rsid w:val="00D90530"/>
    <w:rsid w:val="00D913A3"/>
    <w:rsid w:val="00D936C3"/>
    <w:rsid w:val="00D93B06"/>
    <w:rsid w:val="00D9485B"/>
    <w:rsid w:val="00D963B2"/>
    <w:rsid w:val="00D97908"/>
    <w:rsid w:val="00D97C2C"/>
    <w:rsid w:val="00D97F91"/>
    <w:rsid w:val="00DA02C5"/>
    <w:rsid w:val="00DA107D"/>
    <w:rsid w:val="00DA2102"/>
    <w:rsid w:val="00DA5757"/>
    <w:rsid w:val="00DB0EAF"/>
    <w:rsid w:val="00DB1397"/>
    <w:rsid w:val="00DB17FF"/>
    <w:rsid w:val="00DB1B32"/>
    <w:rsid w:val="00DB2671"/>
    <w:rsid w:val="00DB2E01"/>
    <w:rsid w:val="00DB459E"/>
    <w:rsid w:val="00DB711B"/>
    <w:rsid w:val="00DB78D1"/>
    <w:rsid w:val="00DB7A69"/>
    <w:rsid w:val="00DC2177"/>
    <w:rsid w:val="00DC227B"/>
    <w:rsid w:val="00DC5C23"/>
    <w:rsid w:val="00DC6397"/>
    <w:rsid w:val="00DC7C7B"/>
    <w:rsid w:val="00DD05F9"/>
    <w:rsid w:val="00DD186D"/>
    <w:rsid w:val="00DD18C7"/>
    <w:rsid w:val="00DD1A23"/>
    <w:rsid w:val="00DD1DBA"/>
    <w:rsid w:val="00DD2936"/>
    <w:rsid w:val="00DD2F0C"/>
    <w:rsid w:val="00DD31CE"/>
    <w:rsid w:val="00DD3A18"/>
    <w:rsid w:val="00DD3C5F"/>
    <w:rsid w:val="00DD4C53"/>
    <w:rsid w:val="00DD55B4"/>
    <w:rsid w:val="00DD6BC4"/>
    <w:rsid w:val="00DD7F14"/>
    <w:rsid w:val="00DE0794"/>
    <w:rsid w:val="00DE1AC3"/>
    <w:rsid w:val="00DE49AF"/>
    <w:rsid w:val="00DE4A77"/>
    <w:rsid w:val="00DE5B4F"/>
    <w:rsid w:val="00DE6D74"/>
    <w:rsid w:val="00DE7118"/>
    <w:rsid w:val="00DE7736"/>
    <w:rsid w:val="00DF04BD"/>
    <w:rsid w:val="00DF0EAE"/>
    <w:rsid w:val="00DF1590"/>
    <w:rsid w:val="00DF1BA4"/>
    <w:rsid w:val="00DF2F30"/>
    <w:rsid w:val="00DF4019"/>
    <w:rsid w:val="00DF4EA8"/>
    <w:rsid w:val="00DF5C8F"/>
    <w:rsid w:val="00DF6A39"/>
    <w:rsid w:val="00E0037F"/>
    <w:rsid w:val="00E00D6E"/>
    <w:rsid w:val="00E04CB8"/>
    <w:rsid w:val="00E06B69"/>
    <w:rsid w:val="00E1197F"/>
    <w:rsid w:val="00E123EB"/>
    <w:rsid w:val="00E15338"/>
    <w:rsid w:val="00E25112"/>
    <w:rsid w:val="00E3095E"/>
    <w:rsid w:val="00E330FC"/>
    <w:rsid w:val="00E3345B"/>
    <w:rsid w:val="00E34DBE"/>
    <w:rsid w:val="00E35E36"/>
    <w:rsid w:val="00E36D9C"/>
    <w:rsid w:val="00E37A89"/>
    <w:rsid w:val="00E41389"/>
    <w:rsid w:val="00E43552"/>
    <w:rsid w:val="00E44081"/>
    <w:rsid w:val="00E44FC1"/>
    <w:rsid w:val="00E451A5"/>
    <w:rsid w:val="00E47E5E"/>
    <w:rsid w:val="00E5151F"/>
    <w:rsid w:val="00E53C11"/>
    <w:rsid w:val="00E550E1"/>
    <w:rsid w:val="00E5561C"/>
    <w:rsid w:val="00E561B4"/>
    <w:rsid w:val="00E57726"/>
    <w:rsid w:val="00E605C5"/>
    <w:rsid w:val="00E61A98"/>
    <w:rsid w:val="00E637B7"/>
    <w:rsid w:val="00E64BB4"/>
    <w:rsid w:val="00E64EED"/>
    <w:rsid w:val="00E7218B"/>
    <w:rsid w:val="00E72A9A"/>
    <w:rsid w:val="00E748DE"/>
    <w:rsid w:val="00E75288"/>
    <w:rsid w:val="00E8038D"/>
    <w:rsid w:val="00E80707"/>
    <w:rsid w:val="00E80DC8"/>
    <w:rsid w:val="00E841E2"/>
    <w:rsid w:val="00E85E5E"/>
    <w:rsid w:val="00E86551"/>
    <w:rsid w:val="00E86959"/>
    <w:rsid w:val="00E875C3"/>
    <w:rsid w:val="00E90955"/>
    <w:rsid w:val="00E92038"/>
    <w:rsid w:val="00E920A6"/>
    <w:rsid w:val="00E92A4E"/>
    <w:rsid w:val="00E94F41"/>
    <w:rsid w:val="00E961B1"/>
    <w:rsid w:val="00EA52B6"/>
    <w:rsid w:val="00EA5488"/>
    <w:rsid w:val="00EA7A5F"/>
    <w:rsid w:val="00EA7B62"/>
    <w:rsid w:val="00EB0A45"/>
    <w:rsid w:val="00EB0A70"/>
    <w:rsid w:val="00EB0B8D"/>
    <w:rsid w:val="00EB14F4"/>
    <w:rsid w:val="00EB2350"/>
    <w:rsid w:val="00EB286E"/>
    <w:rsid w:val="00EB2B48"/>
    <w:rsid w:val="00EB3ADB"/>
    <w:rsid w:val="00EB3C72"/>
    <w:rsid w:val="00EB4028"/>
    <w:rsid w:val="00EB55B4"/>
    <w:rsid w:val="00EB6126"/>
    <w:rsid w:val="00EC1553"/>
    <w:rsid w:val="00EC3097"/>
    <w:rsid w:val="00EC5034"/>
    <w:rsid w:val="00EC50FF"/>
    <w:rsid w:val="00EC521B"/>
    <w:rsid w:val="00EC541E"/>
    <w:rsid w:val="00EC687B"/>
    <w:rsid w:val="00EC7938"/>
    <w:rsid w:val="00ED182F"/>
    <w:rsid w:val="00ED2FF3"/>
    <w:rsid w:val="00ED3425"/>
    <w:rsid w:val="00ED3A6E"/>
    <w:rsid w:val="00ED6071"/>
    <w:rsid w:val="00ED6EC9"/>
    <w:rsid w:val="00ED6FBA"/>
    <w:rsid w:val="00ED7C43"/>
    <w:rsid w:val="00EE067E"/>
    <w:rsid w:val="00EE0EE9"/>
    <w:rsid w:val="00EE1003"/>
    <w:rsid w:val="00EE1681"/>
    <w:rsid w:val="00EE2E75"/>
    <w:rsid w:val="00EE4D04"/>
    <w:rsid w:val="00EF0972"/>
    <w:rsid w:val="00EF157D"/>
    <w:rsid w:val="00EF2D29"/>
    <w:rsid w:val="00EF3CC0"/>
    <w:rsid w:val="00EF4B4E"/>
    <w:rsid w:val="00EF4CF7"/>
    <w:rsid w:val="00EF4E2F"/>
    <w:rsid w:val="00EF4F01"/>
    <w:rsid w:val="00EF6BC8"/>
    <w:rsid w:val="00EF791D"/>
    <w:rsid w:val="00F02697"/>
    <w:rsid w:val="00F032E8"/>
    <w:rsid w:val="00F03ABF"/>
    <w:rsid w:val="00F06782"/>
    <w:rsid w:val="00F07832"/>
    <w:rsid w:val="00F11575"/>
    <w:rsid w:val="00F11F33"/>
    <w:rsid w:val="00F1239C"/>
    <w:rsid w:val="00F13593"/>
    <w:rsid w:val="00F14C8F"/>
    <w:rsid w:val="00F17C2C"/>
    <w:rsid w:val="00F204A3"/>
    <w:rsid w:val="00F212EA"/>
    <w:rsid w:val="00F21EB1"/>
    <w:rsid w:val="00F25435"/>
    <w:rsid w:val="00F260C1"/>
    <w:rsid w:val="00F3178D"/>
    <w:rsid w:val="00F32D83"/>
    <w:rsid w:val="00F33042"/>
    <w:rsid w:val="00F336D0"/>
    <w:rsid w:val="00F3596C"/>
    <w:rsid w:val="00F36038"/>
    <w:rsid w:val="00F36C37"/>
    <w:rsid w:val="00F3744A"/>
    <w:rsid w:val="00F423B6"/>
    <w:rsid w:val="00F4268D"/>
    <w:rsid w:val="00F44770"/>
    <w:rsid w:val="00F47F3A"/>
    <w:rsid w:val="00F50327"/>
    <w:rsid w:val="00F5321F"/>
    <w:rsid w:val="00F568CD"/>
    <w:rsid w:val="00F60BF7"/>
    <w:rsid w:val="00F61151"/>
    <w:rsid w:val="00F61465"/>
    <w:rsid w:val="00F63DFB"/>
    <w:rsid w:val="00F659DA"/>
    <w:rsid w:val="00F65D2E"/>
    <w:rsid w:val="00F67043"/>
    <w:rsid w:val="00F702B8"/>
    <w:rsid w:val="00F70E11"/>
    <w:rsid w:val="00F70F66"/>
    <w:rsid w:val="00F717A7"/>
    <w:rsid w:val="00F735B5"/>
    <w:rsid w:val="00F7415D"/>
    <w:rsid w:val="00F766E1"/>
    <w:rsid w:val="00F7688C"/>
    <w:rsid w:val="00F7757A"/>
    <w:rsid w:val="00F816C4"/>
    <w:rsid w:val="00F82A2A"/>
    <w:rsid w:val="00F83EEA"/>
    <w:rsid w:val="00F84ED8"/>
    <w:rsid w:val="00F858E0"/>
    <w:rsid w:val="00F867C0"/>
    <w:rsid w:val="00F86934"/>
    <w:rsid w:val="00F9146D"/>
    <w:rsid w:val="00F91F09"/>
    <w:rsid w:val="00F92E79"/>
    <w:rsid w:val="00F944AB"/>
    <w:rsid w:val="00F95667"/>
    <w:rsid w:val="00F95B25"/>
    <w:rsid w:val="00F96809"/>
    <w:rsid w:val="00F96991"/>
    <w:rsid w:val="00FA058D"/>
    <w:rsid w:val="00FA067E"/>
    <w:rsid w:val="00FA1178"/>
    <w:rsid w:val="00FA13EA"/>
    <w:rsid w:val="00FA2E77"/>
    <w:rsid w:val="00FA3556"/>
    <w:rsid w:val="00FA41E2"/>
    <w:rsid w:val="00FA62AD"/>
    <w:rsid w:val="00FA6421"/>
    <w:rsid w:val="00FA6BF9"/>
    <w:rsid w:val="00FB0118"/>
    <w:rsid w:val="00FB14B3"/>
    <w:rsid w:val="00FB1E6C"/>
    <w:rsid w:val="00FB3A01"/>
    <w:rsid w:val="00FB44F0"/>
    <w:rsid w:val="00FB7939"/>
    <w:rsid w:val="00FC0340"/>
    <w:rsid w:val="00FC036F"/>
    <w:rsid w:val="00FC0639"/>
    <w:rsid w:val="00FC0D09"/>
    <w:rsid w:val="00FC36B5"/>
    <w:rsid w:val="00FC3AA5"/>
    <w:rsid w:val="00FD0AA7"/>
    <w:rsid w:val="00FD1BF0"/>
    <w:rsid w:val="00FD1F08"/>
    <w:rsid w:val="00FD2E54"/>
    <w:rsid w:val="00FD5379"/>
    <w:rsid w:val="00FD6CFE"/>
    <w:rsid w:val="00FD7981"/>
    <w:rsid w:val="00FE2B7F"/>
    <w:rsid w:val="00FE2F78"/>
    <w:rsid w:val="00FE4E8F"/>
    <w:rsid w:val="00FE608E"/>
    <w:rsid w:val="00FE7DE0"/>
    <w:rsid w:val="00FF07E3"/>
    <w:rsid w:val="00FF0A50"/>
    <w:rsid w:val="00FF13A9"/>
    <w:rsid w:val="00FF2839"/>
    <w:rsid w:val="00FF2AFB"/>
    <w:rsid w:val="00FF2F21"/>
    <w:rsid w:val="00FF4632"/>
    <w:rsid w:val="00FF6D98"/>
    <w:rsid w:val="00FF6E37"/>
    <w:rsid w:val="00FF7021"/>
    <w:rsid w:val="02A4F57A"/>
    <w:rsid w:val="326F48B3"/>
    <w:rsid w:val="3AEC3DF6"/>
    <w:rsid w:val="561D0F13"/>
    <w:rsid w:val="6268E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65F3EF"/>
  <w15:chartTrackingRefBased/>
  <w15:docId w15:val="{9706F984-F03C-4BF5-A3A2-CD0B4A421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7B0"/>
  </w:style>
  <w:style w:type="paragraph" w:styleId="Ttulo1">
    <w:name w:val="heading 1"/>
    <w:basedOn w:val="Normal"/>
    <w:next w:val="Normal"/>
    <w:link w:val="Ttulo1Char"/>
    <w:uiPriority w:val="9"/>
    <w:qFormat/>
    <w:rsid w:val="008179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179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162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D7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D7981"/>
  </w:style>
  <w:style w:type="paragraph" w:styleId="Rodap">
    <w:name w:val="footer"/>
    <w:basedOn w:val="Normal"/>
    <w:link w:val="RodapChar"/>
    <w:uiPriority w:val="99"/>
    <w:unhideWhenUsed/>
    <w:rsid w:val="00FD7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D7981"/>
  </w:style>
  <w:style w:type="paragraph" w:styleId="NormalWeb">
    <w:name w:val="Normal (Web)"/>
    <w:basedOn w:val="Normal"/>
    <w:uiPriority w:val="99"/>
    <w:unhideWhenUsed/>
    <w:rsid w:val="00DD5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52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52695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B26AF7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B26AF7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53C14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87523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87523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87523D"/>
    <w:rPr>
      <w:vertAlign w:val="superscript"/>
    </w:rPr>
  </w:style>
  <w:style w:type="paragraph" w:styleId="Reviso">
    <w:name w:val="Revision"/>
    <w:hidden/>
    <w:uiPriority w:val="99"/>
    <w:semiHidden/>
    <w:rsid w:val="00FA6421"/>
    <w:pPr>
      <w:spacing w:after="0" w:line="240" w:lineRule="auto"/>
    </w:p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203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203E"/>
    <w:rPr>
      <w:b/>
      <w:bCs/>
      <w:sz w:val="20"/>
      <w:szCs w:val="20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162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Sumrio1">
    <w:name w:val="toc 1"/>
    <w:basedOn w:val="Normal"/>
    <w:next w:val="Normal"/>
    <w:autoRedefine/>
    <w:uiPriority w:val="39"/>
    <w:unhideWhenUsed/>
    <w:rsid w:val="00C20421"/>
    <w:pPr>
      <w:spacing w:after="100"/>
    </w:pPr>
  </w:style>
  <w:style w:type="paragraph" w:customStyle="1" w:styleId="Default">
    <w:name w:val="Default"/>
    <w:rsid w:val="00C204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179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817916"/>
    <w:pPr>
      <w:outlineLvl w:val="9"/>
    </w:pPr>
    <w:rPr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8179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17916"/>
    <w:pPr>
      <w:spacing w:after="100"/>
      <w:ind w:left="220"/>
    </w:pPr>
  </w:style>
  <w:style w:type="character" w:styleId="Forte">
    <w:name w:val="Strong"/>
    <w:basedOn w:val="Fontepargpadro"/>
    <w:uiPriority w:val="22"/>
    <w:qFormat/>
    <w:rsid w:val="000424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5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8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78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9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3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1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1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64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8263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3EABF-93AC-4CC9-93B3-2FD1DFDD1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3688</Words>
  <Characters>19920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Rocha</dc:creator>
  <cp:keywords/>
  <dc:description/>
  <cp:lastModifiedBy>Brigagão Duque Estrada Advogados</cp:lastModifiedBy>
  <cp:revision>4</cp:revision>
  <dcterms:created xsi:type="dcterms:W3CDTF">2026-04-07T21:02:00Z</dcterms:created>
  <dcterms:modified xsi:type="dcterms:W3CDTF">2026-04-08T17:37:00Z</dcterms:modified>
</cp:coreProperties>
</file>